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2CEE" w14:textId="607261EA" w:rsidR="00724A0F" w:rsidRDefault="009E477B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Ref447806114"/>
      <w:bookmarkStart w:id="1" w:name="_Toc460878438"/>
      <w:r>
        <w:rPr>
          <w:rFonts w:ascii="Times New Roman" w:eastAsia="Calibri" w:hAnsi="Times New Roman" w:cs="Times New Roman"/>
          <w:b/>
          <w:bCs/>
          <w:sz w:val="24"/>
          <w:szCs w:val="24"/>
        </w:rPr>
        <w:t>APPENDIX</w:t>
      </w:r>
    </w:p>
    <w:p w14:paraId="68EB8146" w14:textId="77777777" w:rsidR="00724A0F" w:rsidRDefault="00724A0F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10EED5" w14:textId="07ACC106" w:rsidR="00A30C24" w:rsidRDefault="00A30C24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  <w:r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Supplementary panel: </w:t>
      </w:r>
      <w:r>
        <w:rPr>
          <w:rFonts w:ascii="Times New Roman" w:eastAsia="Calibri" w:hAnsi="Times New Roman" w:cs="Times New Roman"/>
          <w:b/>
          <w:bCs/>
          <w:sz w:val="20"/>
          <w:szCs w:val="24"/>
        </w:rPr>
        <w:t>Measures of diagnostic accuracy and test performance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D47AF" w14:paraId="5AF32222" w14:textId="77777777" w:rsidTr="004B0ECD">
        <w:trPr>
          <w:trHeight w:val="1410"/>
        </w:trPr>
        <w:tc>
          <w:tcPr>
            <w:tcW w:w="9634" w:type="dxa"/>
            <w:vAlign w:val="center"/>
          </w:tcPr>
          <w:tbl>
            <w:tblPr>
              <w:tblStyle w:val="TableGrid"/>
              <w:tblpPr w:leftFromText="180" w:rightFromText="180" w:vertAnchor="text" w:horzAnchor="page" w:tblpX="4190" w:tblpY="4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444"/>
              <w:gridCol w:w="1694"/>
              <w:gridCol w:w="1650"/>
            </w:tblGrid>
            <w:tr w:rsidR="004F4CD5" w14:paraId="4DF19AAD" w14:textId="77777777" w:rsidTr="004F4CD5">
              <w:tc>
                <w:tcPr>
                  <w:tcW w:w="1444" w:type="dxa"/>
                </w:tcPr>
                <w:p w14:paraId="33BDD47A" w14:textId="77777777" w:rsidR="004F4CD5" w:rsidRDefault="004F4CD5" w:rsidP="004F4CD5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1694" w:type="dxa"/>
                </w:tcPr>
                <w:p w14:paraId="148D287C" w14:textId="77777777" w:rsidR="004F4CD5" w:rsidRDefault="004F4CD5" w:rsidP="004F4CD5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</w:rPr>
                    <w:t>Diseased</w:t>
                  </w:r>
                </w:p>
              </w:tc>
              <w:tc>
                <w:tcPr>
                  <w:tcW w:w="1650" w:type="dxa"/>
                </w:tcPr>
                <w:p w14:paraId="0656E090" w14:textId="77777777" w:rsidR="004F4CD5" w:rsidRDefault="004F4CD5" w:rsidP="004F4CD5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</w:rPr>
                    <w:t>Non-diseased</w:t>
                  </w:r>
                </w:p>
              </w:tc>
            </w:tr>
            <w:tr w:rsidR="004F4CD5" w14:paraId="436D570A" w14:textId="77777777" w:rsidTr="004F4CD5">
              <w:tc>
                <w:tcPr>
                  <w:tcW w:w="1444" w:type="dxa"/>
                </w:tcPr>
                <w:p w14:paraId="48C7B8B0" w14:textId="77777777" w:rsidR="004F4CD5" w:rsidRDefault="004F4CD5" w:rsidP="004F4CD5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</w:rPr>
                    <w:t>Test positive</w:t>
                  </w:r>
                </w:p>
              </w:tc>
              <w:tc>
                <w:tcPr>
                  <w:tcW w:w="1694" w:type="dxa"/>
                </w:tcPr>
                <w:p w14:paraId="3105099C" w14:textId="64D73D0F" w:rsidR="004F4CD5" w:rsidRPr="002415AF" w:rsidRDefault="004F4CD5" w:rsidP="004F4CD5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  <w:t>a (true</w:t>
                  </w:r>
                  <w:r w:rsidR="00363B74"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  <w:t>positive)</w:t>
                  </w:r>
                </w:p>
              </w:tc>
              <w:tc>
                <w:tcPr>
                  <w:tcW w:w="1650" w:type="dxa"/>
                </w:tcPr>
                <w:p w14:paraId="294E7F10" w14:textId="40E35176" w:rsidR="004F4CD5" w:rsidRPr="002415AF" w:rsidRDefault="004F4CD5" w:rsidP="004F4CD5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</w:pPr>
                  <w:r w:rsidRPr="002415AF"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  <w:t>b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  <w:t xml:space="preserve"> (false</w:t>
                  </w:r>
                  <w:r w:rsidR="00363B74"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  <w:t>positive)</w:t>
                  </w:r>
                </w:p>
              </w:tc>
            </w:tr>
            <w:tr w:rsidR="004F4CD5" w14:paraId="7C50A3D7" w14:textId="77777777" w:rsidTr="004F4CD5">
              <w:tc>
                <w:tcPr>
                  <w:tcW w:w="1444" w:type="dxa"/>
                </w:tcPr>
                <w:p w14:paraId="54B0E662" w14:textId="77777777" w:rsidR="004F4CD5" w:rsidRDefault="004F4CD5" w:rsidP="004F4CD5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4"/>
                    </w:rPr>
                    <w:t>Test negative</w:t>
                  </w:r>
                </w:p>
              </w:tc>
              <w:tc>
                <w:tcPr>
                  <w:tcW w:w="1694" w:type="dxa"/>
                </w:tcPr>
                <w:p w14:paraId="21832FF2" w14:textId="4970D318" w:rsidR="004F4CD5" w:rsidRPr="002415AF" w:rsidRDefault="004F4CD5" w:rsidP="004F4CD5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</w:pPr>
                  <w:r w:rsidRPr="002415AF"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  <w:t>c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  <w:t xml:space="preserve"> (false</w:t>
                  </w:r>
                  <w:r w:rsidR="00363B74"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  <w:t>negative)</w:t>
                  </w:r>
                </w:p>
              </w:tc>
              <w:tc>
                <w:tcPr>
                  <w:tcW w:w="1650" w:type="dxa"/>
                </w:tcPr>
                <w:p w14:paraId="40D3116F" w14:textId="3163962D" w:rsidR="004F4CD5" w:rsidRPr="002415AF" w:rsidRDefault="004F4CD5" w:rsidP="004F4CD5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</w:pPr>
                  <w:r w:rsidRPr="002415AF"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  <w:t>d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  <w:t xml:space="preserve"> (true</w:t>
                  </w:r>
                  <w:r w:rsidR="00363B74"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  <w:t>-</w:t>
                  </w:r>
                  <w:r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4"/>
                    </w:rPr>
                    <w:t>negative)</w:t>
                  </w:r>
                </w:p>
              </w:tc>
            </w:tr>
          </w:tbl>
          <w:p w14:paraId="22DA67D1" w14:textId="6E405B72" w:rsidR="00F53FB0" w:rsidRDefault="00F53FB0" w:rsidP="00F53FB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 xml:space="preserve">Sensitivity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is </w:t>
            </w:r>
            <w:r w:rsidR="00B44E0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the probability that a patient with </w:t>
            </w:r>
            <w:r w:rsidR="00B44E0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the target</w:t>
            </w:r>
            <w:r w:rsidR="00B44E0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disease has</w:t>
            </w:r>
            <w:r w:rsidR="00B44E0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a positive test result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. </w:t>
            </w:r>
            <w:r w:rsidR="004F4CD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Sensitivity is expressed as a percentage and calculated as follows:</w:t>
            </w:r>
          </w:p>
          <w:p w14:paraId="7F12CB6A" w14:textId="77777777" w:rsidR="004F4CD5" w:rsidRDefault="00F53FB0" w:rsidP="00F53FB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CF1540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Sensitivity = (a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 </w:t>
            </w:r>
            <w:r w:rsidRPr="00CF1540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 </w:t>
            </w:r>
            <w:r w:rsidRPr="00CF1540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(a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 </w:t>
            </w:r>
            <w:r w:rsidRPr="00CF1540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 </w:t>
            </w:r>
            <w:r w:rsidR="00FF338A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c</w:t>
            </w:r>
            <w:r w:rsidRPr="00CF1540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))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 * </w:t>
            </w:r>
            <w:r w:rsidRPr="00CF1540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100</w:t>
            </w:r>
            <w:r w:rsidR="004F4CD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</w:p>
          <w:p w14:paraId="2FCD829C" w14:textId="3CAA6B1D" w:rsidR="00F53FB0" w:rsidRPr="004D2481" w:rsidRDefault="004F4CD5" w:rsidP="00F53FB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test of high sensitivity will give high true-positive and low false-negative rates. Conversely, a test of low sensitivity will give low true-positive and high false-negative rates. </w:t>
            </w:r>
          </w:p>
          <w:p w14:paraId="7A1871A9" w14:textId="39B9C074" w:rsidR="00F53FB0" w:rsidRDefault="00F53FB0" w:rsidP="00F53FB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 xml:space="preserve">Specificity </w:t>
            </w:r>
            <w:r w:rsidR="00B44E0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is the probability that a patient without the target disease has a negative test result.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Specificity is expressed as a percentage and calculated as follows: </w:t>
            </w:r>
          </w:p>
          <w:p w14:paraId="2794E098" w14:textId="77777777" w:rsidR="004F4CD5" w:rsidRDefault="00F53FB0" w:rsidP="00F53FB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 w:rsidRPr="004D2481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pec</w:t>
            </w:r>
            <w:r w:rsidRPr="004D2481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fic</w:t>
            </w:r>
            <w:r w:rsidRPr="004D2481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ity = (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d </w:t>
            </w:r>
            <w:r w:rsidRPr="004D2481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 </w:t>
            </w:r>
            <w:r w:rsidRPr="004D2481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(</w:t>
            </w:r>
            <w:r w:rsidR="00FF338A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b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 </w:t>
            </w:r>
            <w:r w:rsidRPr="004D2481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+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 d</w:t>
            </w:r>
            <w:r w:rsidRPr="004D2481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))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 * </w:t>
            </w:r>
            <w:r w:rsidRPr="004D2481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100</w:t>
            </w:r>
            <w:r w:rsidR="004F4CD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</w:p>
          <w:p w14:paraId="16CD5C2E" w14:textId="366A503C" w:rsidR="00F53FB0" w:rsidRPr="004D2481" w:rsidRDefault="004F4CD5" w:rsidP="00F53FB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A test of high specificity will give high true-negative and low false-positive rates. Conversely, a test of low specificity will give low true-negative and high false-positive rates.</w:t>
            </w:r>
          </w:p>
          <w:p w14:paraId="03F6AF64" w14:textId="45E02C8D" w:rsidR="001E5FF5" w:rsidRDefault="00F53FB0" w:rsidP="00F53FB0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Positive likelihood ratio (PLR)</w:t>
            </w:r>
            <w:r w:rsidR="006456C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="00075E9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is the likelihood that </w:t>
            </w:r>
            <w:r w:rsidR="00075E9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a positive test result</w:t>
            </w:r>
            <w:r w:rsidR="00075E9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wold be expected in a patient with the target disease compared to the likelihood that </w:t>
            </w:r>
            <w:r w:rsidR="00075E97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a positive test result would be expected </w:t>
            </w:r>
            <w:r w:rsidR="00FF338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in a patient without the target disease.</w:t>
            </w:r>
            <w:r w:rsidR="004F4CD5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r w:rsidR="004E09AB" w:rsidRPr="006A10C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It is calculated as follows:</w:t>
            </w:r>
          </w:p>
          <w:p w14:paraId="76D0EFA9" w14:textId="77777777" w:rsidR="004F4CD5" w:rsidRDefault="001E5FF5" w:rsidP="00F53FB0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PL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R = </w:t>
            </w:r>
            <w:r w:rsidR="00075E9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(a / (a + </w:t>
            </w:r>
            <w:r w:rsidR="00FF338A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c</w:t>
            </w:r>
            <w:r w:rsidR="00075E9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)) / (</w:t>
            </w:r>
            <w:r w:rsidR="00FF338A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b</w:t>
            </w:r>
            <w:r w:rsidR="00075E9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 </w:t>
            </w:r>
            <w:r w:rsidR="00075E9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/ (</w:t>
            </w:r>
            <w:r w:rsidR="00FF338A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b</w:t>
            </w:r>
            <w:r w:rsidR="00075E9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 + d))</w:t>
            </w:r>
            <w:r w:rsidR="006456C2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 xml:space="preserve">                 </w:t>
            </w:r>
          </w:p>
          <w:p w14:paraId="5F5606E2" w14:textId="74A78027" w:rsidR="00F53FB0" w:rsidRDefault="004F4CD5" w:rsidP="00F53FB0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A PLR of &gt;1 indicates the positive test result is associated with the presence of disease; a PLR of &lt;1 indicates that the positive test result is associated with absence of disease.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The further the PLR from 1, the stronger the association.</w:t>
            </w:r>
          </w:p>
          <w:p w14:paraId="0252F275" w14:textId="093CDF61" w:rsidR="00F53FB0" w:rsidRDefault="00F53FB0" w:rsidP="00F53FB0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 xml:space="preserve">Negative likelihood ratio (NLR) </w:t>
            </w:r>
            <w:r w:rsidR="00FF338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is the likelihood that a negative test result wold be expected in a patient with the target disease compared to the likelihood that a</w:t>
            </w:r>
            <w:r w:rsidR="00FF338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r w:rsidR="00FF338A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negative test result would be expected in a patient without the target disease.</w:t>
            </w:r>
            <w:r w:rsidR="004E09AB" w:rsidRPr="004D2481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It is calculated as follows:</w:t>
            </w:r>
          </w:p>
          <w:p w14:paraId="54F54971" w14:textId="77777777" w:rsidR="004F4CD5" w:rsidRDefault="001E5FF5" w:rsidP="001E5FF5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N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LR = </w:t>
            </w:r>
            <w:r w:rsidR="00075E9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(</w:t>
            </w:r>
            <w:r w:rsidR="00FF338A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c </w:t>
            </w:r>
            <w:r w:rsidR="00075E9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/ </w:t>
            </w:r>
            <w:r w:rsidR="00FF338A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(</w:t>
            </w:r>
            <w:r w:rsidR="00075E9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a + c)) / (d / (</w:t>
            </w:r>
            <w:r w:rsidR="00FF338A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b</w:t>
            </w:r>
            <w:r w:rsidR="00075E97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 + d))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 xml:space="preserve">            </w:t>
            </w:r>
          </w:p>
          <w:p w14:paraId="1316E3C2" w14:textId="5CA7695E" w:rsidR="001E5FF5" w:rsidRDefault="004F4CD5" w:rsidP="001E5FF5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A NLR of &gt;1 indicates the negative test result is associated with the presence of disease; a NLR of &lt;1 indicates that the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negative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test result is associated with absence of disease. The further the PLR from 1, the stronger the association.</w:t>
            </w:r>
            <w:r w:rsidR="001E5FF5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 xml:space="preserve">   </w:t>
            </w:r>
          </w:p>
          <w:p w14:paraId="432C2AA0" w14:textId="18EA69DF" w:rsidR="00F53FB0" w:rsidRDefault="00DB6AC9" w:rsidP="00F53FB0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P</w:t>
            </w:r>
            <w:r w:rsidR="00F53FB0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ositive predictive value (PPV)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is the probability that a pati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ent with a positive test result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actually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has the </w:t>
            </w:r>
            <w:r w:rsidR="00B44E0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target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disease.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PPV is </w:t>
            </w:r>
            <w:r w:rsidR="00B44E0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often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expressed as a percentage and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calculated as follows:</w:t>
            </w:r>
          </w:p>
          <w:p w14:paraId="568E9C29" w14:textId="7689B197" w:rsidR="00DB6AC9" w:rsidRPr="006A10C0" w:rsidRDefault="00DB6AC9" w:rsidP="00F53FB0">
            <w:pPr>
              <w:spacing w:line="36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PPV 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= (a / (a + </w:t>
            </w:r>
            <w:r w:rsidR="00FF338A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b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)) * 100</w:t>
            </w:r>
          </w:p>
          <w:p w14:paraId="48C38AEB" w14:textId="5EE9FD58" w:rsidR="00DB6AC9" w:rsidRDefault="00F53FB0" w:rsidP="00DB6AC9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 xml:space="preserve">Negative predictive value (NPV) </w:t>
            </w:r>
            <w:r w:rsidR="00DB6AC9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is the probability that a patient with a negative test result </w:t>
            </w:r>
            <w:r w:rsidR="00DB6AC9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truly </w:t>
            </w:r>
            <w:r w:rsidR="00DB6AC9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does not have the </w:t>
            </w:r>
            <w:r w:rsidR="00B44E0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target </w:t>
            </w:r>
            <w:r w:rsidR="00DB6AC9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disease.</w:t>
            </w:r>
            <w:r w:rsidR="00DB6AC9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 NPV is </w:t>
            </w:r>
            <w:r w:rsidR="00B44E00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 xml:space="preserve">often </w:t>
            </w:r>
            <w:r w:rsidR="00DB6AC9">
              <w:rPr>
                <w:rFonts w:ascii="Times New Roman" w:eastAsia="Calibri" w:hAnsi="Times New Roman" w:cs="Times New Roman"/>
                <w:bCs/>
                <w:sz w:val="20"/>
                <w:szCs w:val="24"/>
              </w:rPr>
              <w:t>expressed as a percentage and calculated as follows:</w:t>
            </w:r>
          </w:p>
          <w:p w14:paraId="083456D0" w14:textId="4926BF9F" w:rsidR="006456C2" w:rsidRPr="006A10C0" w:rsidRDefault="00DB6AC9" w:rsidP="00275C9A">
            <w:pPr>
              <w:spacing w:line="36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NPV = (</w:t>
            </w:r>
            <w:r w:rsidR="0019345F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 / (</w:t>
            </w:r>
            <w:r w:rsidR="00FF338A"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>c</w:t>
            </w:r>
            <w:r>
              <w:rPr>
                <w:rFonts w:ascii="Times New Roman" w:eastAsia="Calibri" w:hAnsi="Times New Roman" w:cs="Times New Roman"/>
                <w:bCs/>
                <w:i/>
                <w:sz w:val="20"/>
                <w:szCs w:val="24"/>
              </w:rPr>
              <w:t xml:space="preserve"> + d)) * 100</w:t>
            </w:r>
          </w:p>
        </w:tc>
      </w:tr>
    </w:tbl>
    <w:p w14:paraId="1B595A7D" w14:textId="77777777" w:rsidR="00A30C24" w:rsidRDefault="00A30C24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1AEDF7EB" w14:textId="77777777" w:rsidR="00A30C24" w:rsidRDefault="00A30C24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1464C0E6" w14:textId="77777777" w:rsidR="00A30C24" w:rsidRDefault="00A30C24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389CE69C" w14:textId="77777777" w:rsidR="00A30C24" w:rsidRDefault="00A30C24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3791418B" w14:textId="77777777" w:rsidR="00A30C24" w:rsidRDefault="00A30C24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51FC81E1" w14:textId="77777777" w:rsidR="00A30C24" w:rsidRDefault="00A30C24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71760E61" w14:textId="77777777" w:rsidR="00A30C24" w:rsidRDefault="00A30C24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37E0A1CD" w14:textId="77777777" w:rsidR="00A30C24" w:rsidRDefault="00A30C24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78FE3AE2" w14:textId="7A59F151" w:rsidR="00EC5F06" w:rsidRPr="007562CB" w:rsidRDefault="00EC5F06" w:rsidP="00EC5F06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9E477B">
        <w:rPr>
          <w:rFonts w:ascii="Times New Roman" w:eastAsia="Calibri" w:hAnsi="Times New Roman" w:cs="Times New Roman"/>
          <w:b/>
          <w:bCs/>
          <w:sz w:val="20"/>
          <w:szCs w:val="24"/>
        </w:rPr>
        <w:lastRenderedPageBreak/>
        <w:t xml:space="preserve">Supplementary </w:t>
      </w:r>
      <w:r>
        <w:rPr>
          <w:rFonts w:ascii="Times New Roman" w:eastAsia="Calibri" w:hAnsi="Times New Roman" w:cs="Times New Roman"/>
          <w:b/>
          <w:bCs/>
          <w:sz w:val="20"/>
          <w:szCs w:val="24"/>
        </w:rPr>
        <w:t>checklist</w:t>
      </w:r>
      <w:r w:rsidRPr="007562CB"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STARD </w:t>
      </w:r>
    </w:p>
    <w:tbl>
      <w:tblPr>
        <w:tblStyle w:val="Grilledutableau1"/>
        <w:tblW w:w="5001" w:type="pct"/>
        <w:tblBorders>
          <w:top w:val="dotted" w:sz="4" w:space="0" w:color="4472C4" w:themeColor="accent1"/>
          <w:left w:val="dotted" w:sz="4" w:space="0" w:color="4472C4" w:themeColor="accent1"/>
          <w:bottom w:val="dotted" w:sz="4" w:space="0" w:color="4472C4" w:themeColor="accent1"/>
          <w:right w:val="dotted" w:sz="4" w:space="0" w:color="4472C4" w:themeColor="accent1"/>
          <w:insideH w:val="dotted" w:sz="4" w:space="0" w:color="4472C4" w:themeColor="accent1"/>
          <w:insideV w:val="dotted" w:sz="4" w:space="0" w:color="4472C4" w:themeColor="accent1"/>
        </w:tblBorders>
        <w:tblLook w:val="04A0" w:firstRow="1" w:lastRow="0" w:firstColumn="1" w:lastColumn="0" w:noHBand="0" w:noVBand="1"/>
      </w:tblPr>
      <w:tblGrid>
        <w:gridCol w:w="1560"/>
        <w:gridCol w:w="567"/>
        <w:gridCol w:w="5953"/>
        <w:gridCol w:w="1560"/>
      </w:tblGrid>
      <w:tr w:rsidR="00EC5F06" w:rsidRPr="008469D3" w14:paraId="7CC5AC69" w14:textId="77777777" w:rsidTr="006A10C0">
        <w:trPr>
          <w:trHeight w:val="288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CEF239C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Section &amp; Topic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35FDCD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B566B0D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1D55B9CD" w14:textId="77777777" w:rsidR="00523939" w:rsidRPr="006A10C0" w:rsidRDefault="00523939" w:rsidP="001E5FF5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Reported on page #</w:t>
            </w:r>
          </w:p>
        </w:tc>
      </w:tr>
      <w:tr w:rsidR="00EC5F06" w:rsidRPr="005320D9" w14:paraId="631E7699" w14:textId="77777777" w:rsidTr="006A10C0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4282A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b/>
                <w:color w:val="4472C4" w:themeColor="accent1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59C03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AF073E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59B95" w14:textId="77777777" w:rsidR="00523939" w:rsidRPr="006A10C0" w:rsidRDefault="00523939" w:rsidP="001E5FF5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C5F06" w:rsidRPr="008469D3" w14:paraId="62F78F8D" w14:textId="77777777" w:rsidTr="006A10C0">
        <w:tc>
          <w:tcPr>
            <w:tcW w:w="1560" w:type="dxa"/>
            <w:tcBorders>
              <w:top w:val="nil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22B8B2C3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TITLE OR ABSTRACT</w:t>
            </w:r>
          </w:p>
        </w:tc>
        <w:tc>
          <w:tcPr>
            <w:tcW w:w="567" w:type="dxa"/>
            <w:tcBorders>
              <w:top w:val="nil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22AE9AE3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tcBorders>
              <w:top w:val="nil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1F78CB36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78189ACD" w14:textId="77777777" w:rsidR="00523939" w:rsidRPr="006A10C0" w:rsidRDefault="00523939" w:rsidP="001E5FF5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C5F06" w:rsidRPr="008469D3" w14:paraId="559ECE22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4E4AEF69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2BCF6B28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1A2E0591" w14:textId="39BD05BA" w:rsidR="00523939" w:rsidRPr="006A10C0" w:rsidRDefault="00523939" w:rsidP="00BF4D92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Identification as a study of diagnostic accuracy using at least one measure of accuracy</w:t>
            </w:r>
            <w:r w:rsidR="00BF4D92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(such as sensitivity, specificity, predictive values, or AUC)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72983E66" w14:textId="77777777" w:rsidR="00523939" w:rsidRPr="006A10C0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1, 5</w:t>
            </w:r>
          </w:p>
        </w:tc>
      </w:tr>
      <w:tr w:rsidR="00EC5F06" w:rsidRPr="008469D3" w14:paraId="24746183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4856CA97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ABSTRACT</w:t>
            </w: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44A6CD56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4E2024D9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4232730C" w14:textId="77777777" w:rsidR="00523939" w:rsidRPr="006A10C0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C5F06" w:rsidRPr="008469D3" w14:paraId="2AAFBBD1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1FCDA360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2F0169FA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644B55F6" w14:textId="7A1933C2" w:rsidR="00523939" w:rsidRPr="006A10C0" w:rsidRDefault="00523939" w:rsidP="001E5FF5">
            <w:pPr>
              <w:spacing w:line="276" w:lineRule="auto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 xml:space="preserve">Structured summary of study design, methods, results, and conclusions 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392DBCC6" w14:textId="77777777" w:rsidR="00523939" w:rsidRPr="006A10C0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</w:tr>
      <w:tr w:rsidR="00EC5F06" w:rsidRPr="008469D3" w14:paraId="3C0940CC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32C50A22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INTRODUCTION</w:t>
            </w: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4C227F96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62857109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344E546A" w14:textId="77777777" w:rsidR="00523939" w:rsidRPr="006A10C0" w:rsidRDefault="00523939" w:rsidP="001E5FF5">
            <w:pPr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C5F06" w:rsidRPr="008469D3" w14:paraId="451174D6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4A07A73A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22A74319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05C5E68F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Scientific and clinical background, including the intended use and clinical role of the index test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142AB293" w14:textId="75C76B07" w:rsidR="00523939" w:rsidRPr="006A10C0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7-</w:t>
            </w:r>
            <w:r w:rsidR="00BF4D92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</w:tr>
      <w:tr w:rsidR="00EC5F06" w:rsidRPr="008469D3" w14:paraId="038F4062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49BC21DD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516BF93F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3645B72F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Study objectives and hypotheses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2B9162FD" w14:textId="77777777" w:rsidR="00523939" w:rsidRPr="006A10C0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8-9</w:t>
            </w:r>
          </w:p>
        </w:tc>
      </w:tr>
      <w:tr w:rsidR="00EC5F06" w:rsidRPr="008469D3" w14:paraId="0DD84C6F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29A5931F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METHODS</w:t>
            </w: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5009C37C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219D40DE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28CE4FCE" w14:textId="77777777" w:rsidR="00523939" w:rsidRPr="006A10C0" w:rsidRDefault="00523939" w:rsidP="001E5FF5">
            <w:pPr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C5F06" w:rsidRPr="008469D3" w14:paraId="4BCDB42E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3DF8F373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i/>
                <w:sz w:val="20"/>
                <w:szCs w:val="20"/>
              </w:rPr>
              <w:t>Study design</w:t>
            </w: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12A0544D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2BCED96D" w14:textId="7E61EE4A" w:rsidR="00523939" w:rsidRPr="006A10C0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Whether data collection was planned before the index test and reference standard were performed (prospective study) or after (retrospective study)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39780111" w14:textId="77777777" w:rsidR="00523939" w:rsidRPr="006A10C0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</w:tr>
      <w:tr w:rsidR="00EC5F06" w:rsidRPr="008469D3" w14:paraId="37B0B04F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2D861BBC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i/>
                <w:sz w:val="20"/>
                <w:szCs w:val="20"/>
              </w:rPr>
              <w:t>Participants</w:t>
            </w: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0CE2B8AB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70D32287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 xml:space="preserve">Eligibility criteria 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6EE08DE6" w14:textId="77777777" w:rsidR="00523939" w:rsidRPr="006A10C0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</w:tr>
      <w:tr w:rsidR="00EC5F06" w:rsidRPr="008469D3" w14:paraId="67D55689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10689501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1728F3B9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191AC811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 xml:space="preserve">On what basis potentially eligible participants were identified </w:t>
            </w: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br/>
              <w:t>(such as symptoms, results from previous tests, inclusion in registry)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3379EF12" w14:textId="77777777" w:rsidR="00523939" w:rsidRPr="006A10C0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</w:tr>
      <w:tr w:rsidR="00EC5F06" w:rsidRPr="008469D3" w14:paraId="340210BD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7E65AD2B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1DB13DF0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33A1E8A5" w14:textId="77777777" w:rsidR="00523939" w:rsidRPr="006A10C0" w:rsidRDefault="00523939" w:rsidP="001E5FF5">
            <w:pPr>
              <w:tabs>
                <w:tab w:val="left" w:pos="527"/>
              </w:tabs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Where and when potentially eligible participants were identified (setting, location and dates)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6566CE37" w14:textId="77777777" w:rsidR="00523939" w:rsidRPr="006A10C0" w:rsidRDefault="00523939" w:rsidP="001E5FF5">
            <w:pPr>
              <w:tabs>
                <w:tab w:val="left" w:pos="527"/>
              </w:tabs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</w:tr>
      <w:tr w:rsidR="00EC5F06" w:rsidRPr="008469D3" w14:paraId="2EAD22D2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4E48E6B2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5DC711CE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3902EF31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Whether participants formed a consecutive, random or convenience series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409EFF18" w14:textId="77777777" w:rsidR="00523939" w:rsidRPr="006A10C0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</w:tr>
      <w:tr w:rsidR="00EC5F06" w:rsidRPr="008469D3" w14:paraId="345430D5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431DA9BB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i/>
                <w:sz w:val="20"/>
                <w:szCs w:val="20"/>
              </w:rPr>
              <w:t>Test methods</w:t>
            </w: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640543CC" w14:textId="77777777" w:rsidR="00523939" w:rsidRPr="006A10C0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b/>
                <w:sz w:val="20"/>
                <w:szCs w:val="20"/>
              </w:rPr>
              <w:t>10a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3906D349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Index test, in sufficient detail to allow replication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55E459C1" w14:textId="191E0AF1" w:rsidR="00523939" w:rsidRPr="006A10C0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 xml:space="preserve">11 &amp; Appendix </w:t>
            </w:r>
            <w:proofErr w:type="spellStart"/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>pg</w:t>
            </w:r>
            <w:proofErr w:type="spellEnd"/>
            <w:r w:rsidRPr="006A10C0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F4D92">
              <w:rPr>
                <w:rFonts w:cstheme="minorHAnsi"/>
                <w:color w:val="000000" w:themeColor="text1"/>
                <w:sz w:val="20"/>
                <w:szCs w:val="20"/>
              </w:rPr>
              <w:t>4-5</w:t>
            </w:r>
          </w:p>
        </w:tc>
      </w:tr>
      <w:tr w:rsidR="00EC5F06" w:rsidRPr="008469D3" w14:paraId="6D8069A6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1CE22E8D" w14:textId="77777777" w:rsidR="00523939" w:rsidRPr="006A10C0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2C20A287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10b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7B07DD92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Reference standard, in sufficient detail to allow replication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77CC23A5" w14:textId="26286A7F" w:rsidR="00523939" w:rsidRPr="00E73417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10, 2</w:t>
            </w:r>
            <w:r w:rsidR="003D0BA6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 xml:space="preserve"> (table 1)</w:t>
            </w:r>
          </w:p>
        </w:tc>
      </w:tr>
      <w:tr w:rsidR="00EC5F06" w:rsidRPr="008469D3" w14:paraId="0CC34F3B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7261F71E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335236CE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740D4EE1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highlight w:val="yellow"/>
                <w:lang w:val="en-GB"/>
              </w:rPr>
            </w:pPr>
            <w:r w:rsidRPr="00E73417">
              <w:rPr>
                <w:rFonts w:cstheme="minorHAnsi"/>
                <w:sz w:val="20"/>
                <w:szCs w:val="20"/>
              </w:rPr>
              <w:t>Rationale for choosing the reference standard (if alternatives exist)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3D9809F8" w14:textId="0EA3D39D" w:rsidR="00523939" w:rsidRPr="00E73417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10, 2</w:t>
            </w:r>
            <w:r w:rsidR="003D0BA6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 xml:space="preserve"> (table 1 footnote a)</w:t>
            </w:r>
          </w:p>
        </w:tc>
      </w:tr>
      <w:tr w:rsidR="00EC5F06" w:rsidRPr="008469D3" w14:paraId="1AB5F269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3BC33FA2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4C6D0257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12a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0CFFB14E" w14:textId="364479B1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sz w:val="20"/>
                <w:szCs w:val="20"/>
              </w:rPr>
              <w:t>Definition of and rationale for test positivity cut-offs or result categories of the index test, distinguishing pre-specified from exploratory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4841ADD0" w14:textId="01585F16" w:rsidR="00523939" w:rsidRPr="00E73417" w:rsidRDefault="00523939" w:rsidP="001E5FF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 xml:space="preserve">Appendix </w:t>
            </w:r>
            <w:proofErr w:type="spellStart"/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pg</w:t>
            </w:r>
            <w:proofErr w:type="spellEnd"/>
            <w:r w:rsidR="003D0BA6">
              <w:rPr>
                <w:rFonts w:cstheme="minorHAnsi"/>
                <w:color w:val="000000" w:themeColor="text1"/>
                <w:sz w:val="20"/>
                <w:szCs w:val="20"/>
              </w:rPr>
              <w:t xml:space="preserve"> 4-5</w:t>
            </w:r>
          </w:p>
        </w:tc>
      </w:tr>
      <w:tr w:rsidR="00EC5F06" w:rsidRPr="008469D3" w14:paraId="7AB84660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5121648F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091BA78E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12b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04F7B1C1" w14:textId="7BFD5A69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sz w:val="20"/>
                <w:szCs w:val="20"/>
              </w:rPr>
              <w:t>Definition of and rationale for test positivity cut-offs or result categories of the reference standard, distinguishing pre-specified from exploratory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2D6AF150" w14:textId="43C77E64" w:rsidR="00523939" w:rsidRPr="00E73417" w:rsidRDefault="00523939" w:rsidP="001E5FF5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sz w:val="20"/>
                <w:szCs w:val="20"/>
              </w:rPr>
              <w:t>10, 2</w:t>
            </w:r>
            <w:r w:rsidR="003D0BA6">
              <w:rPr>
                <w:rFonts w:cstheme="minorHAnsi"/>
                <w:sz w:val="20"/>
                <w:szCs w:val="20"/>
              </w:rPr>
              <w:t>6</w:t>
            </w:r>
            <w:r w:rsidRPr="00E73417">
              <w:rPr>
                <w:rFonts w:cstheme="minorHAnsi"/>
                <w:sz w:val="20"/>
                <w:szCs w:val="20"/>
              </w:rPr>
              <w:t xml:space="preserve"> (table 1) </w:t>
            </w:r>
          </w:p>
        </w:tc>
      </w:tr>
      <w:tr w:rsidR="00EC5F06" w:rsidRPr="008469D3" w14:paraId="040D1CBA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0A70D98C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26568F53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13a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61C53738" w14:textId="153E125F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Whether clinical information and reference standard results were available to the performers/readers of the index test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65E457E7" w14:textId="77777777" w:rsidR="00523939" w:rsidRPr="00E73417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11</w:t>
            </w:r>
          </w:p>
        </w:tc>
      </w:tr>
      <w:tr w:rsidR="00EC5F06" w:rsidRPr="008469D3" w14:paraId="56398D29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0613BCF4" w14:textId="77777777" w:rsidR="00523939" w:rsidRPr="00E73417" w:rsidDel="0039653F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3E4484A7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13b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65A1D45B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 xml:space="preserve">Whether clinical information and index test results were available </w:t>
            </w: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br/>
              <w:t>to the assessors of the reference standard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0C5C9129" w14:textId="77777777" w:rsidR="00523939" w:rsidRPr="00E73417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C5F06" w:rsidRPr="008469D3" w14:paraId="0BF1CA1E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78E951BB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i/>
                <w:sz w:val="20"/>
                <w:szCs w:val="20"/>
              </w:rPr>
              <w:t>Analysis</w:t>
            </w: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29F16C18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2DCCA39F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Methods for estimating or comparing measures of diagnostic accuracy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1EADC881" w14:textId="77777777" w:rsidR="00523939" w:rsidRPr="00E73417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11-12</w:t>
            </w:r>
          </w:p>
        </w:tc>
      </w:tr>
      <w:tr w:rsidR="00EC5F06" w:rsidRPr="008469D3" w14:paraId="2528015D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55E39ECA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184F8693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3DEA6B0D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How indeterminate index test or reference standard results were handled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6519ADA8" w14:textId="77777777" w:rsidR="00523939" w:rsidRPr="00E73417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11-12</w:t>
            </w:r>
          </w:p>
        </w:tc>
      </w:tr>
      <w:tr w:rsidR="00EC5F06" w:rsidRPr="008469D3" w14:paraId="3ECECDC8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0AC925E1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61BEDB17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71E7DD97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How missing data on the index test and reference standard were handled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672CDAB2" w14:textId="77777777" w:rsidR="00523939" w:rsidRPr="00E73417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11-12</w:t>
            </w:r>
          </w:p>
        </w:tc>
      </w:tr>
      <w:tr w:rsidR="00EC5F06" w:rsidRPr="008469D3" w14:paraId="4C5BB9DC" w14:textId="77777777" w:rsidTr="006A10C0">
        <w:trPr>
          <w:trHeight w:val="187"/>
        </w:trPr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1EB959CF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47B7201B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575797B4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sz w:val="20"/>
                <w:szCs w:val="20"/>
              </w:rPr>
              <w:t>Any analyses of variability in diagnostic accuracy, distinguishing pre-specified from exploratory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5663C3CF" w14:textId="77777777" w:rsidR="00523939" w:rsidRPr="00E73417" w:rsidRDefault="00523939" w:rsidP="001E5FF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sz w:val="20"/>
                <w:szCs w:val="20"/>
              </w:rPr>
              <w:t>11-12</w:t>
            </w:r>
          </w:p>
        </w:tc>
      </w:tr>
      <w:tr w:rsidR="00EC5F06" w:rsidRPr="008469D3" w14:paraId="1921085D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75F608B5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7AB8F525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24A19423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sz w:val="20"/>
                <w:szCs w:val="20"/>
              </w:rPr>
              <w:t>Intended</w:t>
            </w: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 xml:space="preserve"> sample size and how it was determined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65BCDAC1" w14:textId="77777777" w:rsidR="00523939" w:rsidRPr="00E73417" w:rsidRDefault="00523939" w:rsidP="001E5FF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EC5F06" w:rsidRPr="008469D3" w14:paraId="424BF9DF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234AA0FE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eastAsia="Times New Roman" w:cstheme="minorHAnsi"/>
                <w:sz w:val="20"/>
                <w:szCs w:val="20"/>
              </w:rPr>
              <w:lastRenderedPageBreak/>
              <w:br w:type="page"/>
            </w:r>
            <w:r w:rsidRPr="00E73417">
              <w:rPr>
                <w:rFonts w:cstheme="minorHAnsi"/>
                <w:b/>
                <w:sz w:val="20"/>
                <w:szCs w:val="20"/>
              </w:rPr>
              <w:t>RESULTS</w:t>
            </w: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010EF583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35ED4FC6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6C1A26B6" w14:textId="77777777" w:rsidR="00523939" w:rsidRPr="00E73417" w:rsidRDefault="00523939" w:rsidP="001E5FF5">
            <w:pPr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C5F06" w:rsidRPr="008469D3" w14:paraId="533F3D9D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77BDAD42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i/>
                <w:sz w:val="20"/>
                <w:szCs w:val="20"/>
              </w:rPr>
              <w:t>Participants</w:t>
            </w: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42ACC798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7971ED8E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Flow of participants, using a diagram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22B34A89" w14:textId="47C5BB97" w:rsidR="00523939" w:rsidRPr="00E73417" w:rsidRDefault="003D0BA6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12, </w:t>
            </w:r>
            <w:r w:rsidR="00523939" w:rsidRPr="00E73417">
              <w:rPr>
                <w:rFonts w:cstheme="minorHAnsi"/>
                <w:color w:val="000000" w:themeColor="text1"/>
                <w:sz w:val="20"/>
                <w:szCs w:val="20"/>
              </w:rPr>
              <w:t>Figure 1</w:t>
            </w:r>
          </w:p>
        </w:tc>
      </w:tr>
      <w:tr w:rsidR="00EC5F06" w:rsidRPr="008469D3" w14:paraId="54A733E9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3C2B93B1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6ECDB71A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64F65D6C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Baseline demographic and clinical characteristics of participants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5A6AF789" w14:textId="0314864F" w:rsidR="00523939" w:rsidRPr="00E73417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  <w:r w:rsidR="003D0BA6">
              <w:rPr>
                <w:rFonts w:cstheme="minorHAnsi"/>
                <w:color w:val="000000" w:themeColor="text1"/>
                <w:sz w:val="20"/>
                <w:szCs w:val="20"/>
              </w:rPr>
              <w:t>-13</w:t>
            </w: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, 2</w:t>
            </w:r>
            <w:r w:rsidR="003D0BA6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-2</w:t>
            </w:r>
            <w:r w:rsidR="003D0BA6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 xml:space="preserve"> (table 2)</w:t>
            </w:r>
          </w:p>
        </w:tc>
      </w:tr>
      <w:tr w:rsidR="00EC5F06" w:rsidRPr="00693230" w14:paraId="7757497A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2D7F5620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0917D35C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21a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721419B4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Distribution of severity of disease in those with the target condition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082B11D2" w14:textId="16B1C593" w:rsidR="00523939" w:rsidRPr="00E73417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3D0BA6">
              <w:rPr>
                <w:rFonts w:cstheme="minorHAnsi"/>
                <w:color w:val="000000" w:themeColor="text1"/>
                <w:sz w:val="20"/>
                <w:szCs w:val="20"/>
              </w:rPr>
              <w:t>7</w:t>
            </w: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-2</w:t>
            </w:r>
            <w:r w:rsidR="003D0BA6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 xml:space="preserve"> (table 2), 2</w:t>
            </w:r>
            <w:r w:rsidR="003D0BA6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 xml:space="preserve"> (table 3), Appendix </w:t>
            </w:r>
            <w:proofErr w:type="spellStart"/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pg</w:t>
            </w:r>
            <w:proofErr w:type="spellEnd"/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D0BA6">
              <w:rPr>
                <w:rFonts w:cstheme="minorHAnsi"/>
                <w:color w:val="000000" w:themeColor="text1"/>
                <w:sz w:val="20"/>
                <w:szCs w:val="20"/>
              </w:rPr>
              <w:t>6 (</w:t>
            </w:r>
            <w:proofErr w:type="spellStart"/>
            <w:r w:rsidR="003D0BA6">
              <w:rPr>
                <w:rFonts w:cstheme="minorHAnsi"/>
                <w:color w:val="000000" w:themeColor="text1"/>
                <w:sz w:val="20"/>
                <w:szCs w:val="20"/>
              </w:rPr>
              <w:t>S.table</w:t>
            </w:r>
            <w:proofErr w:type="spellEnd"/>
            <w:r w:rsidR="003D0BA6">
              <w:rPr>
                <w:rFonts w:cstheme="minorHAnsi"/>
                <w:color w:val="000000" w:themeColor="text1"/>
                <w:sz w:val="20"/>
                <w:szCs w:val="20"/>
              </w:rPr>
              <w:t xml:space="preserve"> 1)</w:t>
            </w:r>
          </w:p>
        </w:tc>
      </w:tr>
      <w:tr w:rsidR="00EC5F06" w:rsidRPr="008469D3" w14:paraId="6CBC61F2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6AAAC341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34119138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21b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20FCEDCF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sz w:val="20"/>
                <w:szCs w:val="20"/>
              </w:rPr>
              <w:t>Distribution of</w:t>
            </w:r>
            <w:r w:rsidRPr="00E73417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alternative diagnoses in those without the target condition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223BD739" w14:textId="700D467C" w:rsidR="00523939" w:rsidRPr="00E73417" w:rsidRDefault="00523939" w:rsidP="001E5FF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sz w:val="20"/>
                <w:szCs w:val="20"/>
              </w:rPr>
              <w:t>2</w:t>
            </w:r>
            <w:r w:rsidR="003D0BA6">
              <w:rPr>
                <w:rFonts w:cstheme="minorHAnsi"/>
                <w:sz w:val="20"/>
                <w:szCs w:val="20"/>
              </w:rPr>
              <w:t xml:space="preserve">9 </w:t>
            </w:r>
            <w:r w:rsidRPr="00E73417">
              <w:rPr>
                <w:rFonts w:cstheme="minorHAnsi"/>
                <w:sz w:val="20"/>
                <w:szCs w:val="20"/>
              </w:rPr>
              <w:t>(table 3)</w:t>
            </w:r>
          </w:p>
        </w:tc>
      </w:tr>
      <w:tr w:rsidR="00EC5F06" w:rsidRPr="008469D3" w14:paraId="0033EDC7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1206829E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1ECDAB10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5328391D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sz w:val="20"/>
                <w:szCs w:val="20"/>
              </w:rPr>
              <w:t>Time interval and any clinical interventions between index test and reference standard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4923DF22" w14:textId="77777777" w:rsidR="00523939" w:rsidRPr="00E73417" w:rsidRDefault="00523939" w:rsidP="001E5FF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sz w:val="20"/>
                <w:szCs w:val="20"/>
              </w:rPr>
              <w:t>10-11</w:t>
            </w:r>
          </w:p>
        </w:tc>
      </w:tr>
      <w:tr w:rsidR="00EC5F06" w:rsidRPr="003D0BA6" w14:paraId="03177AA4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63359746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i/>
                <w:sz w:val="20"/>
                <w:szCs w:val="20"/>
              </w:rPr>
              <w:t>Test results</w:t>
            </w: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19F94A2D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0B9F57E0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 xml:space="preserve">Cross tabulation of the index test results (or their distribution) </w:t>
            </w: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br/>
              <w:t>by the results of the reference standard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7AFAD056" w14:textId="2E818CFA" w:rsidR="00523939" w:rsidRPr="003D0BA6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</w:pPr>
            <w:r w:rsidRPr="003D0BA6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Appendix, </w:t>
            </w:r>
            <w:proofErr w:type="spellStart"/>
            <w:r w:rsidRPr="003D0BA6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pg</w:t>
            </w:r>
            <w:proofErr w:type="spellEnd"/>
            <w:r w:rsidRPr="003D0BA6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r w:rsidR="003D0BA6" w:rsidRPr="003D0BA6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8</w:t>
            </w:r>
            <w:r w:rsidRPr="003D0BA6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-</w:t>
            </w:r>
            <w:r w:rsidR="003D0BA6" w:rsidRPr="003D0BA6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9 (S. tables 3 a</w:t>
            </w:r>
            <w:r w:rsidR="003D0BA6"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nd 4)</w:t>
            </w:r>
          </w:p>
        </w:tc>
      </w:tr>
      <w:tr w:rsidR="00EC5F06" w:rsidRPr="008469D3" w14:paraId="47C0785D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36C8A1BF" w14:textId="77777777" w:rsidR="00523939" w:rsidRPr="003D0BA6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fr-FR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49F1F0C2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61AE212F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Estimates of diagnostic accuracy and their precision (such as 95% confidence intervals)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703BF8B0" w14:textId="51175ED9" w:rsidR="00523939" w:rsidRPr="00E73417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 xml:space="preserve">13-15, </w:t>
            </w:r>
            <w:r w:rsidR="003D0BA6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-3</w:t>
            </w:r>
            <w:r w:rsidR="003D0BA6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 xml:space="preserve"> (table 4)</w:t>
            </w:r>
          </w:p>
        </w:tc>
      </w:tr>
      <w:tr w:rsidR="00EC5F06" w:rsidRPr="008469D3" w14:paraId="55B215CA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3DD66E83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665A728D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36E978B2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Any adverse events from performing the index test or the reference standard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35C8069A" w14:textId="77777777" w:rsidR="00523939" w:rsidRPr="00E73417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Not applicable</w:t>
            </w:r>
          </w:p>
        </w:tc>
      </w:tr>
      <w:tr w:rsidR="00EC5F06" w:rsidRPr="008469D3" w14:paraId="4B5061A5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2BFACA0A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DISCUSSION</w:t>
            </w: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4F25AB70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732EBE4D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63478F46" w14:textId="77777777" w:rsidR="00523939" w:rsidRPr="00E73417" w:rsidRDefault="00523939" w:rsidP="001E5FF5">
            <w:pPr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C5F06" w:rsidRPr="008469D3" w14:paraId="49C2EDB2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65BEE263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66FFDBEF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00A55637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 xml:space="preserve">Study limitations, </w:t>
            </w:r>
            <w:r w:rsidRPr="00E73417">
              <w:rPr>
                <w:rFonts w:cstheme="minorHAnsi"/>
                <w:sz w:val="20"/>
                <w:szCs w:val="20"/>
              </w:rPr>
              <w:t>including</w:t>
            </w: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 xml:space="preserve"> sources of potential bias, statistical uncertainty, and generalisability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61E92F28" w14:textId="153D63C0" w:rsidR="00523939" w:rsidRPr="00E73417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18</w:t>
            </w:r>
            <w:r w:rsidR="003D0BA6">
              <w:rPr>
                <w:rFonts w:cstheme="minorHAnsi"/>
                <w:color w:val="000000" w:themeColor="text1"/>
                <w:sz w:val="20"/>
                <w:szCs w:val="20"/>
              </w:rPr>
              <w:t>-19</w:t>
            </w:r>
          </w:p>
        </w:tc>
      </w:tr>
      <w:tr w:rsidR="00EC5F06" w:rsidRPr="008469D3" w14:paraId="1FBE7183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562594A3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7AC41C49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507E0C03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Implications for practice, including the intended use and clinical role of the index test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0E9FB3B9" w14:textId="77777777" w:rsidR="00523939" w:rsidRPr="00E73417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15-19</w:t>
            </w:r>
          </w:p>
        </w:tc>
      </w:tr>
      <w:tr w:rsidR="00EC5F06" w:rsidRPr="008469D3" w14:paraId="79FDFDE0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681575FF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OTHER INFORMATION</w:t>
            </w: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1A5C9573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6CDE2023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2083C3DF" w14:textId="77777777" w:rsidR="00523939" w:rsidRPr="00E73417" w:rsidRDefault="00523939" w:rsidP="001E5FF5">
            <w:pPr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EC5F06" w:rsidRPr="008469D3" w14:paraId="1911AB66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20017F9A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7488E8EB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435C857E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Registration number and name of registry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4F7A1202" w14:textId="77777777" w:rsidR="00523939" w:rsidRPr="00E73417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Not applicable</w:t>
            </w:r>
          </w:p>
        </w:tc>
      </w:tr>
      <w:tr w:rsidR="00EC5F06" w:rsidRPr="008469D3" w14:paraId="6067BE91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55E92545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dotted" w:sz="6" w:space="0" w:color="4472C4" w:themeColor="accent1"/>
            </w:tcBorders>
          </w:tcPr>
          <w:p w14:paraId="6C47B143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15685872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Where the full study protocol can be accessed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dotted" w:sz="6" w:space="0" w:color="4472C4" w:themeColor="accent1"/>
              <w:right w:val="nil"/>
            </w:tcBorders>
          </w:tcPr>
          <w:p w14:paraId="5F15BFB0" w14:textId="77777777" w:rsidR="00523939" w:rsidRPr="00E73417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</w:tr>
      <w:tr w:rsidR="00EC5F06" w:rsidRPr="008469D3" w14:paraId="56D41C0A" w14:textId="77777777" w:rsidTr="006A10C0">
        <w:tc>
          <w:tcPr>
            <w:tcW w:w="1560" w:type="dxa"/>
            <w:tcBorders>
              <w:top w:val="dotted" w:sz="6" w:space="0" w:color="4472C4" w:themeColor="accent1"/>
              <w:left w:val="nil"/>
              <w:bottom w:val="nil"/>
              <w:right w:val="dotted" w:sz="6" w:space="0" w:color="4472C4" w:themeColor="accent1"/>
            </w:tcBorders>
          </w:tcPr>
          <w:p w14:paraId="0706B5A5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6" w:space="0" w:color="4472C4" w:themeColor="accent1"/>
              <w:left w:val="dotted" w:sz="6" w:space="0" w:color="4472C4" w:themeColor="accent1"/>
              <w:bottom w:val="nil"/>
              <w:right w:val="dotted" w:sz="6" w:space="0" w:color="4472C4" w:themeColor="accent1"/>
            </w:tcBorders>
          </w:tcPr>
          <w:p w14:paraId="27731CD0" w14:textId="77777777" w:rsidR="00523939" w:rsidRPr="00E73417" w:rsidRDefault="00523939" w:rsidP="001E5FF5">
            <w:pPr>
              <w:spacing w:line="276" w:lineRule="auto"/>
              <w:jc w:val="center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E73417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5953" w:type="dxa"/>
            <w:tcBorders>
              <w:top w:val="dotted" w:sz="6" w:space="0" w:color="4472C4" w:themeColor="accent1"/>
              <w:left w:val="dotted" w:sz="6" w:space="0" w:color="4472C4" w:themeColor="accent1"/>
              <w:bottom w:val="nil"/>
              <w:right w:val="nil"/>
            </w:tcBorders>
          </w:tcPr>
          <w:p w14:paraId="06250EF0" w14:textId="77777777" w:rsidR="00523939" w:rsidRPr="00E73417" w:rsidRDefault="00523939" w:rsidP="001E5FF5">
            <w:pPr>
              <w:spacing w:line="276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Sources of funding and other support; role of funders</w:t>
            </w:r>
          </w:p>
        </w:tc>
        <w:tc>
          <w:tcPr>
            <w:tcW w:w="1560" w:type="dxa"/>
            <w:tcBorders>
              <w:top w:val="dotted" w:sz="6" w:space="0" w:color="4472C4" w:themeColor="accent1"/>
              <w:left w:val="dotted" w:sz="6" w:space="0" w:color="4472C4" w:themeColor="accent1"/>
              <w:bottom w:val="nil"/>
              <w:right w:val="nil"/>
            </w:tcBorders>
          </w:tcPr>
          <w:p w14:paraId="56BAC994" w14:textId="77777777" w:rsidR="00523939" w:rsidRPr="00E73417" w:rsidRDefault="00523939" w:rsidP="001E5F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73417">
              <w:rPr>
                <w:rFonts w:cstheme="minorHAnsi"/>
                <w:color w:val="000000" w:themeColor="text1"/>
                <w:sz w:val="20"/>
                <w:szCs w:val="20"/>
              </w:rPr>
              <w:t>12</w:t>
            </w:r>
          </w:p>
        </w:tc>
      </w:tr>
    </w:tbl>
    <w:p w14:paraId="06D788E8" w14:textId="77777777" w:rsidR="00523939" w:rsidRDefault="00523939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7C1E9961" w14:textId="77777777" w:rsidR="00523939" w:rsidRDefault="00523939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74793755" w14:textId="77777777" w:rsidR="00EC5F06" w:rsidRDefault="00EC5F06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3FF3E74E" w14:textId="77777777" w:rsidR="00EC5F06" w:rsidRDefault="00EC5F06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3620CC91" w14:textId="77777777" w:rsidR="00EC5F06" w:rsidRDefault="00EC5F06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0243F24B" w14:textId="77777777" w:rsidR="00EC5F06" w:rsidRDefault="00EC5F06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008ED099" w14:textId="77777777" w:rsidR="00EC5F06" w:rsidRDefault="00EC5F06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52CAE8CA" w14:textId="77777777" w:rsidR="00EC5F06" w:rsidRDefault="00EC5F06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4914EBC4" w14:textId="77777777" w:rsidR="00EC5F06" w:rsidRDefault="00EC5F06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649BBD1E" w14:textId="77777777" w:rsidR="00EC5F06" w:rsidRDefault="00EC5F06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004236BB" w14:textId="77777777" w:rsidR="00EC5F06" w:rsidRDefault="00EC5F06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65409CEB" w14:textId="77777777" w:rsidR="00EC5F06" w:rsidRDefault="00EC5F06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37BA5677" w14:textId="77777777" w:rsidR="00EC5F06" w:rsidRDefault="00EC5F06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7D263DCC" w14:textId="77777777" w:rsidR="00EC5F06" w:rsidRDefault="00EC5F06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72FE10DB" w14:textId="77777777" w:rsidR="00EC5F06" w:rsidRDefault="00EC5F06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106AC6D5" w14:textId="4FF0398C" w:rsidR="00EC5F06" w:rsidRDefault="00EC5F06" w:rsidP="003D0BA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4DDC8DBE" w14:textId="3BB1AF0C" w:rsidR="003D0BA6" w:rsidRDefault="003D0BA6" w:rsidP="003D0BA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2A952CC3" w14:textId="37E300AB" w:rsidR="003D0BA6" w:rsidRDefault="003D0BA6" w:rsidP="003D0BA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0"/>
          <w:szCs w:val="24"/>
        </w:rPr>
      </w:pPr>
    </w:p>
    <w:p w14:paraId="2DCB39F7" w14:textId="5172A0E6" w:rsidR="00724A0F" w:rsidRPr="007562CB" w:rsidRDefault="00670398" w:rsidP="00724A0F">
      <w:pPr>
        <w:spacing w:after="0" w:line="360" w:lineRule="auto"/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9E477B">
        <w:rPr>
          <w:rFonts w:ascii="Times New Roman" w:eastAsia="Calibri" w:hAnsi="Times New Roman" w:cs="Times New Roman"/>
          <w:b/>
          <w:bCs/>
          <w:sz w:val="20"/>
          <w:szCs w:val="24"/>
        </w:rPr>
        <w:lastRenderedPageBreak/>
        <w:t xml:space="preserve">Supplementary </w:t>
      </w:r>
      <w:r w:rsidR="00A30C24">
        <w:rPr>
          <w:rFonts w:ascii="Times New Roman" w:eastAsia="Calibri" w:hAnsi="Times New Roman" w:cs="Times New Roman"/>
          <w:b/>
          <w:bCs/>
          <w:sz w:val="20"/>
          <w:szCs w:val="24"/>
        </w:rPr>
        <w:t>m</w:t>
      </w:r>
      <w:r w:rsidRPr="007562CB">
        <w:rPr>
          <w:rFonts w:ascii="Times New Roman" w:eastAsia="Calibri" w:hAnsi="Times New Roman" w:cs="Times New Roman"/>
          <w:b/>
          <w:bCs/>
          <w:sz w:val="20"/>
          <w:szCs w:val="24"/>
        </w:rPr>
        <w:t>ethods</w:t>
      </w:r>
      <w:r w:rsidR="00724A0F" w:rsidRPr="007562CB">
        <w:rPr>
          <w:rFonts w:ascii="Times New Roman" w:eastAsia="Calibri" w:hAnsi="Times New Roman" w:cs="Times New Roman"/>
          <w:b/>
          <w:bCs/>
          <w:sz w:val="20"/>
          <w:szCs w:val="24"/>
        </w:rPr>
        <w:t>: Laboratory procedures</w:t>
      </w:r>
    </w:p>
    <w:p w14:paraId="6559F7BD" w14:textId="35936CAD" w:rsidR="00724A0F" w:rsidRDefault="00724A0F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62CB">
        <w:rPr>
          <w:rFonts w:ascii="Times New Roman" w:hAnsi="Times New Roman" w:cs="Times New Roman"/>
          <w:sz w:val="20"/>
          <w:szCs w:val="24"/>
        </w:rPr>
        <w:t xml:space="preserve">QFT-GIT was carried out according to the manufacturer’s </w:t>
      </w:r>
      <w:r w:rsidRPr="004F2A26">
        <w:rPr>
          <w:rFonts w:ascii="Times New Roman" w:hAnsi="Times New Roman" w:cs="Times New Roman"/>
          <w:sz w:val="20"/>
          <w:szCs w:val="24"/>
        </w:rPr>
        <w:t>instructions (</w:t>
      </w:r>
      <w:hyperlink r:id="rId7" w:history="1">
        <w:r w:rsidRPr="004F2A26">
          <w:rPr>
            <w:rStyle w:val="Hyperlink"/>
            <w:rFonts w:ascii="Times New Roman" w:hAnsi="Times New Roman" w:cs="Times New Roman"/>
            <w:color w:val="auto"/>
            <w:sz w:val="20"/>
            <w:szCs w:val="24"/>
          </w:rPr>
          <w:t>http://www.quantiferon.com/wp-content/uploads/2018/03/L1075115_QFT_EU_ROW_</w:t>
        </w:r>
      </w:hyperlink>
      <w:r w:rsidRPr="004F2A26">
        <w:rPr>
          <w:rFonts w:ascii="Times New Roman" w:hAnsi="Times New Roman" w:cs="Times New Roman"/>
          <w:sz w:val="20"/>
          <w:szCs w:val="24"/>
        </w:rPr>
        <w:t>Rev005.pdf) and as described in Whitworth et al.</w:t>
      </w:r>
      <w:r w:rsidR="00031F86">
        <w:rPr>
          <w:rFonts w:ascii="Times New Roman" w:hAnsi="Times New Roman" w:cs="Times New Roman"/>
          <w:sz w:val="20"/>
          <w:szCs w:val="24"/>
          <w:vertAlign w:val="superscript"/>
        </w:rPr>
        <w:t>6</w:t>
      </w:r>
      <w:r w:rsidRPr="004F2A26">
        <w:rPr>
          <w:rFonts w:ascii="Times New Roman" w:hAnsi="Times New Roman" w:cs="Times New Roman"/>
          <w:sz w:val="20"/>
          <w:szCs w:val="24"/>
        </w:rPr>
        <w:t xml:space="preserve"> In brief, blood was incubated overnight (16-24 hours) at 37°C in collection tubes containing </w:t>
      </w:r>
      <w:r w:rsidRPr="007562CB">
        <w:rPr>
          <w:rFonts w:ascii="Times New Roman" w:hAnsi="Times New Roman" w:cs="Times New Roman"/>
          <w:sz w:val="20"/>
          <w:szCs w:val="24"/>
        </w:rPr>
        <w:t xml:space="preserve">a pool of Mtb-specific antigens (ESAT-6, CFP-10 and Rv2654) and positive (mitogen) and negative controls. Plasma was separated and stored at 4˚C prior to measurement of IFN-γ released in response to antigen stimulation by enzyme-linked immunosorbent assay (ELISA). Optical density readings were determined using a microplate reader (Elx800 Absorbance reader, VIC, Australia), and interferon-gamma (IFN-γ) levels calculated against a series of standard concentrations. The test was considered positive if the IFN-γ level for TB-specific antigens was ≥0.35 IU/mL after subtracting the negative control reading. It was considered indeterminate (invalid) if the negative control reading was &gt;8.0 </w:t>
      </w:r>
      <w:r w:rsidRPr="00A36D3D">
        <w:rPr>
          <w:rFonts w:ascii="Times New Roman" w:hAnsi="Times New Roman" w:cs="Times New Roman"/>
          <w:sz w:val="20"/>
          <w:szCs w:val="20"/>
        </w:rPr>
        <w:t xml:space="preserve">IU/ml and/or the positive control was &lt;0.5 IU/ml. </w:t>
      </w:r>
    </w:p>
    <w:p w14:paraId="7F432827" w14:textId="751C9DF2" w:rsidR="00647FE1" w:rsidRDefault="0055433A" w:rsidP="0055433A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6D3D">
        <w:rPr>
          <w:rFonts w:ascii="Times New Roman" w:hAnsi="Times New Roman" w:cs="Times New Roman"/>
          <w:sz w:val="20"/>
          <w:szCs w:val="20"/>
        </w:rPr>
        <w:t xml:space="preserve">T-SPOT.TB was carried out </w:t>
      </w:r>
      <w:r w:rsidRPr="007562CB">
        <w:rPr>
          <w:rFonts w:ascii="Times New Roman" w:hAnsi="Times New Roman" w:cs="Times New Roman"/>
          <w:sz w:val="20"/>
          <w:szCs w:val="24"/>
        </w:rPr>
        <w:t xml:space="preserve">by enzyme-linked </w:t>
      </w:r>
      <w:proofErr w:type="spellStart"/>
      <w:r w:rsidRPr="007562CB">
        <w:rPr>
          <w:rFonts w:ascii="Times New Roman" w:hAnsi="Times New Roman" w:cs="Times New Roman"/>
          <w:sz w:val="20"/>
          <w:szCs w:val="24"/>
        </w:rPr>
        <w:t>immunos</w:t>
      </w:r>
      <w:r>
        <w:rPr>
          <w:rFonts w:ascii="Times New Roman" w:hAnsi="Times New Roman" w:cs="Times New Roman"/>
          <w:sz w:val="20"/>
          <w:szCs w:val="24"/>
        </w:rPr>
        <w:t>po</w:t>
      </w:r>
      <w:r w:rsidRPr="007562CB">
        <w:rPr>
          <w:rFonts w:ascii="Times New Roman" w:hAnsi="Times New Roman" w:cs="Times New Roman"/>
          <w:sz w:val="20"/>
          <w:szCs w:val="24"/>
        </w:rPr>
        <w:t>t</w:t>
      </w:r>
      <w:proofErr w:type="spellEnd"/>
      <w:r w:rsidRPr="007562CB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(ELISPOT) </w:t>
      </w:r>
      <w:r w:rsidRPr="007562CB">
        <w:rPr>
          <w:rFonts w:ascii="Times New Roman" w:hAnsi="Times New Roman" w:cs="Times New Roman"/>
          <w:sz w:val="20"/>
          <w:szCs w:val="24"/>
        </w:rPr>
        <w:t>assay</w:t>
      </w:r>
      <w:r w:rsidRPr="00A36D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 w:rsidRPr="00A36D3D">
        <w:rPr>
          <w:rFonts w:ascii="Times New Roman" w:hAnsi="Times New Roman" w:cs="Times New Roman"/>
          <w:sz w:val="20"/>
          <w:szCs w:val="20"/>
        </w:rPr>
        <w:t xml:space="preserve"> PBMCs isolated from heparinised whole-blood (using the </w:t>
      </w:r>
      <w:proofErr w:type="spellStart"/>
      <w:r w:rsidRPr="00A36D3D">
        <w:rPr>
          <w:rFonts w:ascii="Times New Roman" w:hAnsi="Times New Roman" w:cs="Times New Roman"/>
          <w:sz w:val="20"/>
          <w:szCs w:val="20"/>
        </w:rPr>
        <w:t>Ficoll</w:t>
      </w:r>
      <w:proofErr w:type="spellEnd"/>
      <w:r w:rsidRPr="00A36D3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36D3D">
        <w:rPr>
          <w:rFonts w:ascii="Times New Roman" w:hAnsi="Times New Roman" w:cs="Times New Roman"/>
          <w:sz w:val="20"/>
          <w:szCs w:val="20"/>
        </w:rPr>
        <w:t>Paque</w:t>
      </w:r>
      <w:proofErr w:type="spellEnd"/>
      <w:r w:rsidRPr="00A36D3D">
        <w:rPr>
          <w:rFonts w:ascii="Times New Roman" w:hAnsi="Times New Roman" w:cs="Times New Roman"/>
          <w:sz w:val="20"/>
          <w:szCs w:val="20"/>
        </w:rPr>
        <w:t xml:space="preserve"> density centrifugation method), as per the manufacturer’s instructions (http://www.tspot.com/wp-content/uploads/2017/07/PI-TB-US-V6.pdf) and as described in Whitworth et al.</w:t>
      </w:r>
      <w:r w:rsidR="00031F86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A36D3D">
        <w:rPr>
          <w:rFonts w:ascii="Times New Roman" w:hAnsi="Times New Roman" w:cs="Times New Roman"/>
          <w:sz w:val="20"/>
          <w:szCs w:val="20"/>
        </w:rPr>
        <w:t xml:space="preserve"> </w:t>
      </w:r>
      <w:r w:rsidRPr="00A36D3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</w:t>
      </w:r>
      <w:r w:rsidR="00BF48D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second-generation</w:t>
      </w:r>
      <w:r w:rsidRPr="00A36D3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and ESAT-6-free IGRAs used the same platform and methodology as T-SPOT.TB. </w:t>
      </w:r>
      <w:r w:rsidRPr="00A36D3D">
        <w:rPr>
          <w:rFonts w:ascii="Times New Roman" w:hAnsi="Times New Roman" w:cs="Times New Roman"/>
          <w:sz w:val="20"/>
          <w:szCs w:val="20"/>
        </w:rPr>
        <w:t xml:space="preserve">In brief, freshly-isolated PBMCs were suspended in serum-free AIM-V at a concentration of 2.5 million cells per ml. Cells were incubated overnight (18 hours; </w:t>
      </w:r>
      <w:r w:rsidR="00FE0E0C">
        <w:rPr>
          <w:rFonts w:ascii="Times New Roman" w:hAnsi="Times New Roman" w:cs="Times New Roman"/>
          <w:sz w:val="20"/>
          <w:szCs w:val="20"/>
        </w:rPr>
        <w:t>3</w:t>
      </w:r>
      <w:r w:rsidRPr="00A36D3D">
        <w:rPr>
          <w:rFonts w:ascii="Times New Roman" w:hAnsi="Times New Roman" w:cs="Times New Roman"/>
          <w:sz w:val="20"/>
          <w:szCs w:val="20"/>
        </w:rPr>
        <w:t xml:space="preserve">7°C) with T-SPOT.TB antigens (ESAT-6, CFP-10), novel antigens (Rv3615c, Rv3879c), </w:t>
      </w:r>
      <w:r w:rsidRPr="00893C09">
        <w:rPr>
          <w:rFonts w:ascii="Times New Roman" w:hAnsi="Times New Roman" w:cs="Times New Roman"/>
          <w:sz w:val="20"/>
          <w:szCs w:val="20"/>
        </w:rPr>
        <w:t>and positive (phytohemagglutinin (PHA)) and nil (RPMI medium) controls in a 96-well plate, pre-coated with IFN-γ specific monoclonal capture antibodies.</w:t>
      </w:r>
      <w:r w:rsidRPr="003C672A">
        <w:rPr>
          <w:rFonts w:ascii="Times New Roman" w:hAnsi="Times New Roman" w:cs="Times New Roman"/>
          <w:sz w:val="20"/>
          <w:szCs w:val="20"/>
        </w:rPr>
        <w:t xml:space="preserve"> For the novel antigens, peptide pools </w:t>
      </w:r>
      <w:r>
        <w:rPr>
          <w:rFonts w:ascii="Times New Roman" w:hAnsi="Times New Roman" w:cs="Times New Roman"/>
          <w:sz w:val="20"/>
          <w:szCs w:val="20"/>
        </w:rPr>
        <w:t>comprised</w:t>
      </w:r>
      <w:r w:rsidRPr="003C672A">
        <w:rPr>
          <w:rFonts w:ascii="Times New Roman" w:hAnsi="Times New Roman" w:cs="Times New Roman"/>
          <w:sz w:val="20"/>
          <w:szCs w:val="20"/>
        </w:rPr>
        <w:t xml:space="preserve"> 15-mer peptides </w:t>
      </w:r>
      <w:r>
        <w:rPr>
          <w:rFonts w:ascii="Times New Roman" w:hAnsi="Times New Roman" w:cs="Times New Roman"/>
          <w:sz w:val="20"/>
          <w:szCs w:val="20"/>
        </w:rPr>
        <w:t xml:space="preserve">overlapping </w:t>
      </w:r>
      <w:r w:rsidRPr="00893C09">
        <w:rPr>
          <w:rFonts w:ascii="Times New Roman" w:hAnsi="Times New Roman" w:cs="Times New Roman"/>
          <w:sz w:val="20"/>
          <w:szCs w:val="20"/>
        </w:rPr>
        <w:t xml:space="preserve">their adjacent peptides by 10 amino acids </w:t>
      </w:r>
      <w:r>
        <w:rPr>
          <w:rFonts w:ascii="Times New Roman" w:hAnsi="Times New Roman" w:cs="Times New Roman"/>
          <w:sz w:val="20"/>
          <w:szCs w:val="20"/>
        </w:rPr>
        <w:t>representing</w:t>
      </w:r>
      <w:r w:rsidRPr="00166EEA">
        <w:rPr>
          <w:rFonts w:ascii="Times New Roman" w:hAnsi="Times New Roman" w:cs="Times New Roman"/>
          <w:sz w:val="20"/>
          <w:szCs w:val="20"/>
        </w:rPr>
        <w:t xml:space="preserve"> the full sequence</w:t>
      </w:r>
      <w:r>
        <w:rPr>
          <w:rFonts w:ascii="Times New Roman" w:hAnsi="Times New Roman" w:cs="Times New Roman"/>
          <w:sz w:val="20"/>
          <w:szCs w:val="20"/>
        </w:rPr>
        <w:t xml:space="preserve"> of </w:t>
      </w:r>
      <w:r w:rsidRPr="003C672A">
        <w:rPr>
          <w:rFonts w:ascii="Times New Roman" w:hAnsi="Times New Roman" w:cs="Times New Roman"/>
          <w:sz w:val="20"/>
          <w:szCs w:val="20"/>
        </w:rPr>
        <w:t xml:space="preserve"> Rv3615c (n=</w:t>
      </w:r>
      <w:r w:rsidRPr="00A72DC6">
        <w:rPr>
          <w:rFonts w:ascii="Times New Roman" w:hAnsi="Times New Roman" w:cs="Times New Roman"/>
          <w:sz w:val="20"/>
          <w:szCs w:val="20"/>
        </w:rPr>
        <w:t>19</w:t>
      </w:r>
      <w:r>
        <w:rPr>
          <w:rFonts w:ascii="Times New Roman" w:hAnsi="Times New Roman" w:cs="Times New Roman"/>
          <w:sz w:val="20"/>
          <w:szCs w:val="20"/>
        </w:rPr>
        <w:t xml:space="preserve"> peptides</w:t>
      </w:r>
      <w:r w:rsidRPr="00491B5F">
        <w:rPr>
          <w:rFonts w:ascii="Times New Roman" w:hAnsi="Times New Roman" w:cs="Times New Roman"/>
          <w:sz w:val="20"/>
          <w:szCs w:val="20"/>
        </w:rPr>
        <w:t>)</w:t>
      </w:r>
      <w:r w:rsidRPr="003C672A">
        <w:rPr>
          <w:rFonts w:ascii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hAnsi="Times New Roman" w:cs="Times New Roman"/>
          <w:sz w:val="20"/>
          <w:szCs w:val="20"/>
        </w:rPr>
        <w:t xml:space="preserve">previously defined selected sequences from </w:t>
      </w:r>
      <w:r w:rsidRPr="003C672A">
        <w:rPr>
          <w:rFonts w:ascii="Times New Roman" w:hAnsi="Times New Roman" w:cs="Times New Roman"/>
          <w:sz w:val="20"/>
          <w:szCs w:val="20"/>
        </w:rPr>
        <w:t>Rv3879c (n=17</w:t>
      </w:r>
      <w:r>
        <w:rPr>
          <w:rFonts w:ascii="Times New Roman" w:hAnsi="Times New Roman" w:cs="Times New Roman"/>
          <w:sz w:val="20"/>
          <w:szCs w:val="20"/>
        </w:rPr>
        <w:t xml:space="preserve"> peptides</w:t>
      </w:r>
      <w:r w:rsidR="00EF1CB8">
        <w:rPr>
          <w:rFonts w:ascii="Times New Roman" w:hAnsi="Times New Roman" w:cs="Times New Roman"/>
          <w:sz w:val="20"/>
          <w:szCs w:val="20"/>
        </w:rPr>
        <w:t xml:space="preserve">; </w:t>
      </w:r>
      <w:r w:rsidR="00B95B17">
        <w:rPr>
          <w:rFonts w:ascii="Times New Roman" w:hAnsi="Times New Roman" w:cs="Times New Roman"/>
          <w:sz w:val="20"/>
          <w:szCs w:val="20"/>
        </w:rPr>
        <w:t xml:space="preserve">covering </w:t>
      </w:r>
      <w:r w:rsidR="00EF1CB8">
        <w:rPr>
          <w:rFonts w:ascii="Times New Roman" w:hAnsi="Times New Roman" w:cs="Times New Roman"/>
          <w:sz w:val="20"/>
          <w:szCs w:val="20"/>
        </w:rPr>
        <w:t xml:space="preserve">amino acid </w:t>
      </w:r>
      <w:r w:rsidR="00B95B17">
        <w:rPr>
          <w:rFonts w:ascii="Times New Roman" w:hAnsi="Times New Roman" w:cs="Times New Roman"/>
          <w:sz w:val="20"/>
          <w:szCs w:val="20"/>
        </w:rPr>
        <w:t>residues</w:t>
      </w:r>
      <w:r w:rsidR="00EF1CB8">
        <w:rPr>
          <w:rFonts w:ascii="Times New Roman" w:hAnsi="Times New Roman" w:cs="Times New Roman"/>
          <w:sz w:val="20"/>
          <w:szCs w:val="20"/>
        </w:rPr>
        <w:t xml:space="preserve"> </w:t>
      </w:r>
      <w:r w:rsidR="00EF1CB8">
        <w:rPr>
          <w:rFonts w:ascii="Times New Roman" w:hAnsi="Times New Roman" w:cs="Times New Roman"/>
          <w:sz w:val="20"/>
          <w:szCs w:val="20"/>
        </w:rPr>
        <w:t>1-95</w:t>
      </w:r>
      <w:r w:rsidRPr="003C672A">
        <w:rPr>
          <w:rFonts w:ascii="Times New Roman" w:hAnsi="Times New Roman" w:cs="Times New Roman"/>
          <w:sz w:val="20"/>
          <w:szCs w:val="20"/>
        </w:rPr>
        <w:t>)</w:t>
      </w:r>
      <w:r w:rsidR="00E75602">
        <w:rPr>
          <w:rFonts w:ascii="Times New Roman" w:hAnsi="Times New Roman" w:cs="Times New Roman"/>
          <w:sz w:val="20"/>
          <w:szCs w:val="20"/>
        </w:rPr>
        <w:t>,</w:t>
      </w:r>
      <w:r w:rsidRPr="00936085">
        <w:rPr>
          <w:rFonts w:ascii="Times New Roman" w:hAnsi="Times New Roman" w:cs="Times New Roman"/>
          <w:sz w:val="20"/>
          <w:szCs w:val="20"/>
          <w:vertAlign w:val="superscript"/>
        </w:rPr>
        <w:t>1,1</w:t>
      </w:r>
      <w:r w:rsidR="00031F86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E75602">
        <w:rPr>
          <w:rFonts w:ascii="Times New Roman" w:hAnsi="Times New Roman" w:cs="Times New Roman"/>
          <w:sz w:val="20"/>
          <w:szCs w:val="20"/>
        </w:rPr>
        <w:t xml:space="preserve"> as shown below.</w:t>
      </w:r>
      <w:r w:rsidRPr="003C672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8661" w:type="dxa"/>
        <w:tblInd w:w="128" w:type="dxa"/>
        <w:tblLook w:val="04A0" w:firstRow="1" w:lastRow="0" w:firstColumn="1" w:lastColumn="0" w:noHBand="0" w:noVBand="1"/>
      </w:tblPr>
      <w:tblGrid>
        <w:gridCol w:w="1660"/>
        <w:gridCol w:w="2890"/>
        <w:gridCol w:w="1658"/>
        <w:gridCol w:w="2453"/>
      </w:tblGrid>
      <w:tr w:rsidR="00E75602" w:rsidRPr="00A7056B" w14:paraId="2FDBDC79" w14:textId="09D87EE2" w:rsidTr="00E7341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051C645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Rv3879c/1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303131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MSITRPTGSYARQML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2FE6DAEC" w14:textId="5B324411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Rv3615c/1</w:t>
            </w:r>
          </w:p>
        </w:tc>
        <w:tc>
          <w:tcPr>
            <w:tcW w:w="2453" w:type="dxa"/>
            <w:vAlign w:val="bottom"/>
          </w:tcPr>
          <w:p w14:paraId="5188564E" w14:textId="326A1CF0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MTENLTVQPERLGVL</w:t>
            </w:r>
          </w:p>
        </w:tc>
      </w:tr>
      <w:tr w:rsidR="00E75602" w:rsidRPr="00A7056B" w14:paraId="7C57F57E" w14:textId="7663BCA2" w:rsidTr="00E7341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5A67857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Rv3879c/2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638E53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PTGSYARQMLDPGGW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555FF9EF" w14:textId="2BE4F815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Rv3616c/2</w:t>
            </w:r>
          </w:p>
        </w:tc>
        <w:tc>
          <w:tcPr>
            <w:tcW w:w="2453" w:type="dxa"/>
            <w:vAlign w:val="bottom"/>
          </w:tcPr>
          <w:p w14:paraId="6B488BEF" w14:textId="0A0E0FC1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TVQPERLGVLASHHD</w:t>
            </w:r>
          </w:p>
        </w:tc>
      </w:tr>
      <w:tr w:rsidR="00E75602" w:rsidRPr="00A7056B" w14:paraId="7B0BDC3E" w14:textId="592D3E0B" w:rsidTr="00E7341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05AA969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Rv3879c/3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21DC44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ARQMLDPGGWVEADE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626A29F5" w14:textId="587F1596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Rv3615c/3 </w:t>
            </w:r>
          </w:p>
        </w:tc>
        <w:tc>
          <w:tcPr>
            <w:tcW w:w="2453" w:type="dxa"/>
            <w:vAlign w:val="bottom"/>
          </w:tcPr>
          <w:p w14:paraId="37B20D54" w14:textId="1E6BF75B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RLGVLASHHDNAAVD</w:t>
            </w:r>
          </w:p>
        </w:tc>
      </w:tr>
      <w:tr w:rsidR="00E75602" w:rsidRPr="00A7056B" w14:paraId="25AF62A8" w14:textId="44B6277B" w:rsidTr="00E7341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DC6F805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Rv3879c/4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525C97B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DPGGWVEADEDTFYD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182D031A" w14:textId="2EFD2C0F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Rv3615c/4</w:t>
            </w:r>
          </w:p>
        </w:tc>
        <w:tc>
          <w:tcPr>
            <w:tcW w:w="2453" w:type="dxa"/>
            <w:vAlign w:val="bottom"/>
          </w:tcPr>
          <w:p w14:paraId="1B157CF7" w14:textId="419018A9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ASHHDNAAVDASSGV</w:t>
            </w:r>
          </w:p>
        </w:tc>
      </w:tr>
      <w:tr w:rsidR="00E75602" w:rsidRPr="00A7056B" w14:paraId="754ED5AC" w14:textId="2267DD0F" w:rsidTr="00E7341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6ACC865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Rv3879c/5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90C127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VEADEDTFYDRAQEY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5E9FD101" w14:textId="500EE3BC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Rv3615c/5</w:t>
            </w:r>
          </w:p>
        </w:tc>
        <w:tc>
          <w:tcPr>
            <w:tcW w:w="2453" w:type="dxa"/>
            <w:vAlign w:val="bottom"/>
          </w:tcPr>
          <w:p w14:paraId="05984D50" w14:textId="6643830E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NAAVDASSGVEAAAG</w:t>
            </w:r>
          </w:p>
        </w:tc>
      </w:tr>
      <w:tr w:rsidR="00E75602" w:rsidRPr="00A7056B" w14:paraId="29D5EE7F" w14:textId="3EDAA6C4" w:rsidTr="00E7341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EA198A2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Rv3879c/6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694701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DTFYDRAQEYSQVLQ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1450B8AB" w14:textId="47078F2B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Rv3615c/6</w:t>
            </w:r>
          </w:p>
        </w:tc>
        <w:tc>
          <w:tcPr>
            <w:tcW w:w="2453" w:type="dxa"/>
            <w:vAlign w:val="bottom"/>
          </w:tcPr>
          <w:p w14:paraId="653C8996" w14:textId="080C51B8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ASSGVEAAAGLGESV</w:t>
            </w:r>
          </w:p>
        </w:tc>
      </w:tr>
      <w:tr w:rsidR="00E75602" w:rsidRPr="00A7056B" w14:paraId="1F005D15" w14:textId="5E773E45" w:rsidTr="00E7341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B5E631F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Rv3879c/7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0D5EF2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RAQEYSQVLQRVTDV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7EDBF8BF" w14:textId="5BA7C54D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Rv3615c/7</w:t>
            </w:r>
          </w:p>
        </w:tc>
        <w:tc>
          <w:tcPr>
            <w:tcW w:w="2453" w:type="dxa"/>
            <w:vAlign w:val="bottom"/>
          </w:tcPr>
          <w:p w14:paraId="1F9CC3CC" w14:textId="4E49036C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EAAAGLGESVAITHG</w:t>
            </w:r>
          </w:p>
        </w:tc>
      </w:tr>
      <w:tr w:rsidR="00E75602" w:rsidRPr="00A7056B" w14:paraId="55D52AF2" w14:textId="5C101DB5" w:rsidTr="00E7341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4F23AFA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Rv3879c/8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CD80DB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SQLVQRVTDVLDTCR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2EB87878" w14:textId="62152804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Rv3615c/8</w:t>
            </w:r>
          </w:p>
        </w:tc>
        <w:tc>
          <w:tcPr>
            <w:tcW w:w="2453" w:type="dxa"/>
            <w:vAlign w:val="bottom"/>
          </w:tcPr>
          <w:p w14:paraId="71509639" w14:textId="60ACFCDD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LGESVAITHGPYCSQ</w:t>
            </w:r>
          </w:p>
        </w:tc>
      </w:tr>
      <w:tr w:rsidR="00E75602" w:rsidRPr="00A7056B" w14:paraId="00C8E2E4" w14:textId="3B9FF102" w:rsidTr="00E7341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686E374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Rv3879c/9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D09AA0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RVTDVLDTCRQQKGH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6BB9E268" w14:textId="676D9B33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Rv3615c/9</w:t>
            </w:r>
          </w:p>
        </w:tc>
        <w:tc>
          <w:tcPr>
            <w:tcW w:w="2453" w:type="dxa"/>
            <w:vAlign w:val="bottom"/>
          </w:tcPr>
          <w:p w14:paraId="01EDAD93" w14:textId="72E7E976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AITHGPYCSQFNDTL</w:t>
            </w:r>
          </w:p>
        </w:tc>
      </w:tr>
      <w:tr w:rsidR="00E75602" w:rsidRPr="00A7056B" w14:paraId="6665A132" w14:textId="16289DB2" w:rsidTr="00E7341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AAE750C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Rv3879c/10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CD2732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LDTCRQQKGHVFEGG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1DCA92F9" w14:textId="45F45053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Rv3615c/10</w:t>
            </w:r>
          </w:p>
        </w:tc>
        <w:tc>
          <w:tcPr>
            <w:tcW w:w="2453" w:type="dxa"/>
            <w:vAlign w:val="bottom"/>
          </w:tcPr>
          <w:p w14:paraId="2F367F79" w14:textId="48BA4EC0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PYCSQFNDTLNVYLT</w:t>
            </w:r>
          </w:p>
        </w:tc>
      </w:tr>
      <w:tr w:rsidR="00E75602" w:rsidRPr="00A7056B" w14:paraId="0775FAF8" w14:textId="58C50C36" w:rsidTr="00E7341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803A81E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Rv3879c/11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F55539F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QQKGHVFEGGLWSGG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4C339280" w14:textId="2E6C0A58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Rv3615c/11</w:t>
            </w:r>
          </w:p>
        </w:tc>
        <w:tc>
          <w:tcPr>
            <w:tcW w:w="2453" w:type="dxa"/>
            <w:vAlign w:val="bottom"/>
          </w:tcPr>
          <w:p w14:paraId="1A7269DB" w14:textId="01D5AFB5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FNDTLNVYLTAHNAL</w:t>
            </w:r>
          </w:p>
        </w:tc>
      </w:tr>
      <w:tr w:rsidR="00E75602" w:rsidRPr="00A7056B" w14:paraId="3B65870B" w14:textId="3253C22A" w:rsidTr="00E7341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3678452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Rv3879c/12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BE38E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VFEGGLWSGGAANAA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0BD8696B" w14:textId="7DC26F25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Rv3615c/12</w:t>
            </w:r>
          </w:p>
        </w:tc>
        <w:tc>
          <w:tcPr>
            <w:tcW w:w="2453" w:type="dxa"/>
            <w:vAlign w:val="bottom"/>
          </w:tcPr>
          <w:p w14:paraId="524C834C" w14:textId="272EC7B8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NVYLTAHNALGSSLH</w:t>
            </w:r>
          </w:p>
        </w:tc>
      </w:tr>
      <w:tr w:rsidR="00E75602" w:rsidRPr="00A7056B" w14:paraId="20C37B9F" w14:textId="5C55E3BB" w:rsidTr="00E7341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EECAEB1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Rv3879c/13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F66D13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LWSGGAANAANGALG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245A488E" w14:textId="48B0B031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Rv3615c/13</w:t>
            </w:r>
          </w:p>
        </w:tc>
        <w:tc>
          <w:tcPr>
            <w:tcW w:w="2453" w:type="dxa"/>
            <w:vAlign w:val="bottom"/>
          </w:tcPr>
          <w:p w14:paraId="660E7711" w14:textId="3D64132E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AHNALGSSLHTAGVD</w:t>
            </w:r>
          </w:p>
        </w:tc>
      </w:tr>
      <w:tr w:rsidR="00E75602" w:rsidRPr="00A7056B" w14:paraId="1B6F4BDC" w14:textId="53FAA3DC" w:rsidTr="00E7341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7ACD2BA8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Rv3879c/14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10CC03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AANAANGALGANINQ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6DBF16F2" w14:textId="43409B36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Rv3615c/14</w:t>
            </w:r>
          </w:p>
        </w:tc>
        <w:tc>
          <w:tcPr>
            <w:tcW w:w="2453" w:type="dxa"/>
            <w:vAlign w:val="bottom"/>
          </w:tcPr>
          <w:p w14:paraId="516D2336" w14:textId="208F35BE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GSSLHTAGVDLAKSL</w:t>
            </w:r>
          </w:p>
        </w:tc>
      </w:tr>
      <w:tr w:rsidR="00E75602" w:rsidRPr="00A7056B" w14:paraId="195579A5" w14:textId="62ECA4DC" w:rsidTr="00E7341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DD4A994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Rv3879c/15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7A4FD5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NGALGANINQLMTLQ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71196FE3" w14:textId="310D8CAC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Rv3615c/15</w:t>
            </w:r>
          </w:p>
        </w:tc>
        <w:tc>
          <w:tcPr>
            <w:tcW w:w="2453" w:type="dxa"/>
            <w:vAlign w:val="bottom"/>
          </w:tcPr>
          <w:p w14:paraId="2B7D6863" w14:textId="6FDA635F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TAGVDLAKSLRIAAK</w:t>
            </w:r>
          </w:p>
        </w:tc>
      </w:tr>
      <w:tr w:rsidR="00E75602" w:rsidRPr="00A7056B" w14:paraId="636C5812" w14:textId="051A56FD" w:rsidTr="00E73417">
        <w:trPr>
          <w:trHeight w:val="300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F96488D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Rv3879c/16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369F86E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ANINQLMTLQDYLAT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5B5C25D4" w14:textId="282318E4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Rv3615c/16</w:t>
            </w:r>
          </w:p>
        </w:tc>
        <w:tc>
          <w:tcPr>
            <w:tcW w:w="2453" w:type="dxa"/>
            <w:vAlign w:val="bottom"/>
          </w:tcPr>
          <w:p w14:paraId="5E87E427" w14:textId="657EB386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LAKSLRIAAKIYSEA</w:t>
            </w:r>
          </w:p>
        </w:tc>
      </w:tr>
      <w:tr w:rsidR="00E75602" w:rsidRPr="00A7056B" w14:paraId="33E41CAA" w14:textId="1E488782" w:rsidTr="00E73417">
        <w:trPr>
          <w:trHeight w:val="315"/>
        </w:trPr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C97ADCD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Rv3879c/17</w:t>
            </w: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F37534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LMTLQDYLATVITWH</w:t>
            </w: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7A1078BE" w14:textId="48BA0D92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Rv3615c/17</w:t>
            </w:r>
          </w:p>
        </w:tc>
        <w:tc>
          <w:tcPr>
            <w:tcW w:w="2453" w:type="dxa"/>
            <w:vAlign w:val="bottom"/>
          </w:tcPr>
          <w:p w14:paraId="5F8349CF" w14:textId="24A7777A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RIAAKIYSEADEAWR</w:t>
            </w:r>
          </w:p>
        </w:tc>
      </w:tr>
      <w:tr w:rsidR="00E75602" w:rsidRPr="00A7056B" w14:paraId="4BA97807" w14:textId="77777777" w:rsidTr="00E73417">
        <w:trPr>
          <w:trHeight w:val="315"/>
        </w:trPr>
        <w:tc>
          <w:tcPr>
            <w:tcW w:w="1660" w:type="dxa"/>
            <w:shd w:val="clear" w:color="auto" w:fill="auto"/>
            <w:noWrap/>
            <w:vAlign w:val="bottom"/>
          </w:tcPr>
          <w:p w14:paraId="52BB839D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B4EDFB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7E1AAF1D" w14:textId="479F4A34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Rv3615c/18</w:t>
            </w:r>
          </w:p>
        </w:tc>
        <w:tc>
          <w:tcPr>
            <w:tcW w:w="2453" w:type="dxa"/>
            <w:vAlign w:val="bottom"/>
          </w:tcPr>
          <w:p w14:paraId="60BCF254" w14:textId="44EE8049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IYSEADEAWRKAIDG</w:t>
            </w:r>
          </w:p>
        </w:tc>
      </w:tr>
      <w:tr w:rsidR="00E75602" w:rsidRPr="00A7056B" w14:paraId="153FB5BF" w14:textId="77777777" w:rsidTr="00E73417">
        <w:trPr>
          <w:trHeight w:val="315"/>
        </w:trPr>
        <w:tc>
          <w:tcPr>
            <w:tcW w:w="1660" w:type="dxa"/>
            <w:shd w:val="clear" w:color="auto" w:fill="auto"/>
            <w:noWrap/>
            <w:vAlign w:val="bottom"/>
          </w:tcPr>
          <w:p w14:paraId="4A88EE47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90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229E82C" w14:textId="77777777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58" w:type="dxa"/>
            <w:tcBorders>
              <w:left w:val="single" w:sz="12" w:space="0" w:color="auto"/>
            </w:tcBorders>
            <w:vAlign w:val="bottom"/>
          </w:tcPr>
          <w:p w14:paraId="1CBC9350" w14:textId="0CBC50BB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Rv3615c/19</w:t>
            </w:r>
          </w:p>
        </w:tc>
        <w:tc>
          <w:tcPr>
            <w:tcW w:w="2453" w:type="dxa"/>
            <w:vAlign w:val="bottom"/>
          </w:tcPr>
          <w:p w14:paraId="096C27CE" w14:textId="2F71D21A" w:rsidR="00E75602" w:rsidRPr="00E73417" w:rsidRDefault="00E75602" w:rsidP="00E75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DEAWRKAIDGLFT</w:t>
            </w:r>
          </w:p>
        </w:tc>
      </w:tr>
    </w:tbl>
    <w:p w14:paraId="14B074FD" w14:textId="77777777" w:rsidR="00647FE1" w:rsidRDefault="00647FE1" w:rsidP="0055433A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A65A39" w14:textId="02B4C00F" w:rsidR="00031F86" w:rsidRDefault="0055433A" w:rsidP="0055433A">
      <w:pPr>
        <w:spacing w:after="0" w:line="48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893C09">
        <w:rPr>
          <w:rFonts w:ascii="Times New Roman" w:hAnsi="Times New Roman" w:cs="Times New Roman"/>
          <w:sz w:val="20"/>
          <w:szCs w:val="20"/>
        </w:rPr>
        <w:t xml:space="preserve">For each peptide, </w:t>
      </w:r>
      <w:r>
        <w:rPr>
          <w:rFonts w:ascii="Times New Roman" w:hAnsi="Times New Roman" w:cs="Times New Roman"/>
          <w:sz w:val="20"/>
          <w:szCs w:val="20"/>
        </w:rPr>
        <w:t xml:space="preserve">identity was confirmed by mass spectrometry, </w:t>
      </w:r>
      <w:r w:rsidR="00031F86">
        <w:rPr>
          <w:rFonts w:ascii="Times New Roman" w:hAnsi="Times New Roman" w:cs="Times New Roman"/>
          <w:sz w:val="20"/>
          <w:szCs w:val="20"/>
        </w:rPr>
        <w:t xml:space="preserve">and </w:t>
      </w:r>
      <w:r w:rsidRPr="00893C09">
        <w:rPr>
          <w:rFonts w:ascii="Times New Roman" w:hAnsi="Times New Roman" w:cs="Times New Roman"/>
          <w:sz w:val="20"/>
          <w:szCs w:val="20"/>
        </w:rPr>
        <w:t>purity exceeded 80%.</w:t>
      </w:r>
      <w:r w:rsidRPr="003C672A">
        <w:rPr>
          <w:rFonts w:ascii="Times New Roman" w:hAnsi="Times New Roman" w:cs="Times New Roman"/>
          <w:sz w:val="20"/>
          <w:szCs w:val="20"/>
        </w:rPr>
        <w:t xml:space="preserve"> </w:t>
      </w:r>
      <w:r w:rsidR="00E75602">
        <w:rPr>
          <w:rFonts w:ascii="Times New Roman" w:hAnsi="Times New Roman" w:cs="Times New Roman"/>
          <w:sz w:val="20"/>
          <w:szCs w:val="20"/>
        </w:rPr>
        <w:t xml:space="preserve">Pooled peptides were diluted </w:t>
      </w:r>
      <w:r w:rsidR="00E75602">
        <w:rPr>
          <w:rFonts w:ascii="Times New Roman" w:hAnsi="Times New Roman" w:cs="Times New Roman"/>
          <w:sz w:val="20"/>
          <w:szCs w:val="20"/>
        </w:rPr>
        <w:t xml:space="preserve">firstly </w:t>
      </w:r>
      <w:r w:rsidR="00E75602">
        <w:rPr>
          <w:rFonts w:ascii="Times New Roman" w:hAnsi="Times New Roman" w:cs="Times New Roman"/>
          <w:sz w:val="20"/>
          <w:szCs w:val="20"/>
        </w:rPr>
        <w:t xml:space="preserve">in DMSO (25mg/ml) and </w:t>
      </w:r>
      <w:r w:rsidR="00E75602">
        <w:rPr>
          <w:rFonts w:ascii="Times New Roman" w:hAnsi="Times New Roman" w:cs="Times New Roman"/>
          <w:sz w:val="20"/>
          <w:szCs w:val="20"/>
        </w:rPr>
        <w:t>secondly</w:t>
      </w:r>
      <w:r w:rsidR="00E75602">
        <w:rPr>
          <w:rFonts w:ascii="Times New Roman" w:hAnsi="Times New Roman" w:cs="Times New Roman"/>
          <w:sz w:val="20"/>
          <w:szCs w:val="20"/>
        </w:rPr>
        <w:t xml:space="preserve"> in RPMI.</w:t>
      </w:r>
      <w:r w:rsidR="00E75602">
        <w:rPr>
          <w:rFonts w:ascii="Times New Roman" w:hAnsi="Times New Roman" w:cs="Times New Roman"/>
          <w:sz w:val="20"/>
          <w:szCs w:val="20"/>
        </w:rPr>
        <w:t xml:space="preserve"> </w:t>
      </w:r>
      <w:r w:rsidRPr="003C672A">
        <w:rPr>
          <w:rFonts w:ascii="Times New Roman" w:hAnsi="Times New Roman" w:cs="Times New Roman"/>
          <w:sz w:val="20"/>
          <w:szCs w:val="20"/>
        </w:rPr>
        <w:t xml:space="preserve">Each </w:t>
      </w:r>
      <w:r w:rsidR="008D6F3C">
        <w:rPr>
          <w:rFonts w:ascii="Times New Roman" w:hAnsi="Times New Roman" w:cs="Times New Roman"/>
          <w:sz w:val="20"/>
          <w:szCs w:val="20"/>
        </w:rPr>
        <w:t>T-SPOT.TB antigen, novel a</w:t>
      </w:r>
      <w:r w:rsidR="008D6F3C">
        <w:rPr>
          <w:rFonts w:ascii="Times New Roman" w:hAnsi="Times New Roman" w:cs="Times New Roman"/>
          <w:sz w:val="20"/>
          <w:szCs w:val="20"/>
        </w:rPr>
        <w:t xml:space="preserve">ntigen </w:t>
      </w:r>
      <w:r>
        <w:rPr>
          <w:rFonts w:ascii="Times New Roman" w:hAnsi="Times New Roman" w:cs="Times New Roman"/>
          <w:sz w:val="20"/>
          <w:szCs w:val="20"/>
        </w:rPr>
        <w:t>peptide pool</w:t>
      </w:r>
      <w:r w:rsidRPr="003C672A">
        <w:rPr>
          <w:rFonts w:ascii="Times New Roman" w:hAnsi="Times New Roman" w:cs="Times New Roman"/>
          <w:sz w:val="20"/>
          <w:szCs w:val="20"/>
        </w:rPr>
        <w:t xml:space="preserve"> or control was added to an individual well of the plate, with a final concentration for each </w:t>
      </w:r>
      <w:r w:rsidR="008D6F3C">
        <w:rPr>
          <w:rFonts w:ascii="Times New Roman" w:hAnsi="Times New Roman" w:cs="Times New Roman"/>
          <w:sz w:val="20"/>
          <w:szCs w:val="20"/>
        </w:rPr>
        <w:t xml:space="preserve">T-SPOT.TB antigen or novel antigen </w:t>
      </w:r>
      <w:r>
        <w:rPr>
          <w:rFonts w:ascii="Times New Roman" w:hAnsi="Times New Roman" w:cs="Times New Roman"/>
          <w:sz w:val="20"/>
          <w:szCs w:val="20"/>
        </w:rPr>
        <w:t>peptide</w:t>
      </w:r>
      <w:r w:rsidRPr="003C672A">
        <w:rPr>
          <w:rFonts w:ascii="Times New Roman" w:hAnsi="Times New Roman" w:cs="Times New Roman"/>
          <w:sz w:val="20"/>
          <w:szCs w:val="20"/>
        </w:rPr>
        <w:t xml:space="preserve"> of 10μg/m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3C672A">
        <w:rPr>
          <w:rFonts w:ascii="Times New Roman" w:hAnsi="Times New Roman" w:cs="Times New Roman"/>
          <w:sz w:val="20"/>
          <w:szCs w:val="20"/>
        </w:rPr>
        <w:t xml:space="preserve">. </w:t>
      </w:r>
      <w:r w:rsidR="00E75602" w:rsidRPr="00E73417">
        <w:rPr>
          <w:rFonts w:ascii="Times New Roman" w:hAnsi="Times New Roman" w:cs="Times New Roman"/>
          <w:sz w:val="20"/>
        </w:rPr>
        <w:t>The final concentration of DMSO per well ranged from 0.68% (for ESAT-6 and Rv3879) to 0.76% (for Rv3615c).</w:t>
      </w:r>
      <w:r w:rsidR="00E75602">
        <w:rPr>
          <w:rFonts w:cstheme="minorHAnsi"/>
        </w:rPr>
        <w:t xml:space="preserve"> </w:t>
      </w:r>
      <w:r w:rsidRPr="00893C09">
        <w:rPr>
          <w:rFonts w:ascii="Times New Roman" w:hAnsi="Times New Roman" w:cs="Times New Roman"/>
          <w:sz w:val="20"/>
          <w:szCs w:val="20"/>
        </w:rPr>
        <w:t>After incubation, wells were washed with phosphate-buffered saline and an alkaline phosphatase-conjugated secondary IFN-γ specific monoclonal antibody was added.</w:t>
      </w:r>
      <w:r w:rsidRPr="00893C09" w:rsidDel="0038732F">
        <w:rPr>
          <w:rFonts w:ascii="Times New Roman" w:hAnsi="Times New Roman" w:cs="Times New Roman"/>
          <w:sz w:val="20"/>
          <w:szCs w:val="20"/>
        </w:rPr>
        <w:t xml:space="preserve"> </w:t>
      </w:r>
      <w:r w:rsidRPr="00893C09">
        <w:rPr>
          <w:rFonts w:ascii="Times New Roman" w:hAnsi="Times New Roman" w:cs="Times New Roman"/>
          <w:sz w:val="20"/>
          <w:szCs w:val="20"/>
        </w:rPr>
        <w:t xml:space="preserve">For a visible representation of the spots </w:t>
      </w:r>
      <w:r>
        <w:rPr>
          <w:rFonts w:ascii="Times New Roman" w:hAnsi="Times New Roman" w:cs="Times New Roman"/>
          <w:sz w:val="20"/>
          <w:szCs w:val="20"/>
        </w:rPr>
        <w:t xml:space="preserve">(spot-forming cells; SFCs) </w:t>
      </w:r>
      <w:r w:rsidRPr="00893C09">
        <w:rPr>
          <w:rFonts w:ascii="Times New Roman" w:hAnsi="Times New Roman" w:cs="Times New Roman"/>
          <w:sz w:val="20"/>
          <w:szCs w:val="20"/>
        </w:rPr>
        <w:t xml:space="preserve">on the membrane, an alkaline-phosphatase chromogen substrate was added. </w:t>
      </w:r>
      <w:r w:rsidRPr="003C672A">
        <w:rPr>
          <w:rFonts w:ascii="Times New Roman" w:hAnsi="Times New Roman" w:cs="Times New Roman"/>
          <w:sz w:val="20"/>
          <w:szCs w:val="20"/>
        </w:rPr>
        <w:t>SFCs were enumerated u</w:t>
      </w:r>
      <w:r w:rsidRPr="003C672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sing an ELISPOT plate reader (AID ELISpot read system ELRIFL04, Advanced Imaging Devices GmbH, </w:t>
      </w:r>
      <w:proofErr w:type="spellStart"/>
      <w:r w:rsidRPr="003C672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Straßberg</w:t>
      </w:r>
      <w:proofErr w:type="spellEnd"/>
      <w:r w:rsidRPr="003C672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Germany). </w:t>
      </w:r>
    </w:p>
    <w:p w14:paraId="2B266B9B" w14:textId="6F21B193" w:rsidR="0055433A" w:rsidRPr="00CA57DB" w:rsidRDefault="0055433A" w:rsidP="0055433A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72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test was considered positive if the number of SFCs for the TB antigen minus the negative control was ≥8. Where this difference was 5, 6 or 7 SFCs, the assay was deemed borderline. Results were classified as indeterminate (invalid) if the positive control produced &lt;20 SFCs and/or the negative control produced &gt;10 SFCs. </w:t>
      </w:r>
    </w:p>
    <w:p w14:paraId="7BFADE77" w14:textId="77777777" w:rsidR="0055433A" w:rsidRPr="003C672A" w:rsidRDefault="0055433A" w:rsidP="0055433A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672A">
        <w:rPr>
          <w:rFonts w:ascii="Times New Roman" w:hAnsi="Times New Roman" w:cs="Times New Roman"/>
          <w:sz w:val="20"/>
          <w:szCs w:val="20"/>
        </w:rPr>
        <w:t xml:space="preserve">All samples were processed within eight hours of blood collection. </w:t>
      </w:r>
    </w:p>
    <w:p w14:paraId="071FE1C7" w14:textId="600758FC" w:rsidR="00724A0F" w:rsidRDefault="00724A0F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4ED96D0" w14:textId="79BF662D" w:rsidR="005916FB" w:rsidRDefault="005916FB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EBFCA87" w14:textId="5EC97262" w:rsidR="005916FB" w:rsidRDefault="005916FB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1361588" w14:textId="42E4ECE1" w:rsidR="005916FB" w:rsidRDefault="005916FB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36051EC" w14:textId="0133B0F1" w:rsidR="005916FB" w:rsidRDefault="005916FB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717B7BC" w14:textId="23F08B41" w:rsidR="005916FB" w:rsidRDefault="005916FB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E1B0764" w14:textId="4DF76BCE" w:rsidR="005916FB" w:rsidRDefault="005916FB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7EFADEE" w14:textId="30F0531C" w:rsidR="005916FB" w:rsidRDefault="005916FB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EB1363C" w14:textId="3F7A6633" w:rsidR="005916FB" w:rsidRDefault="005916FB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5AF9A87" w14:textId="4CC80B61" w:rsidR="005916FB" w:rsidRDefault="005916FB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1695604" w14:textId="31159FC3" w:rsidR="005916FB" w:rsidRDefault="005916FB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59EBA2F" w14:textId="55595558" w:rsidR="005916FB" w:rsidRDefault="005916FB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F2BFA9E" w14:textId="353A5D96" w:rsidR="005916FB" w:rsidRDefault="005916FB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B250355" w14:textId="2BE7F12A" w:rsidR="005916FB" w:rsidRDefault="005916FB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C1BAF65" w14:textId="65C0B687" w:rsidR="00A16E63" w:rsidRDefault="00A16E63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2D274E9B" w14:textId="77777777" w:rsidR="00A16E63" w:rsidRDefault="00A16E63" w:rsidP="00724A0F">
      <w:pPr>
        <w:spacing w:after="0" w:line="480" w:lineRule="auto"/>
        <w:jc w:val="both"/>
        <w:rPr>
          <w:rFonts w:ascii="Times New Roman" w:hAnsi="Times New Roman" w:cs="Times New Roman"/>
          <w:sz w:val="20"/>
          <w:szCs w:val="24"/>
        </w:rPr>
      </w:pPr>
      <w:bookmarkStart w:id="2" w:name="_GoBack"/>
      <w:bookmarkEnd w:id="2"/>
    </w:p>
    <w:p w14:paraId="5091F5D2" w14:textId="77777777" w:rsidR="00724A0F" w:rsidRPr="007562CB" w:rsidRDefault="00724A0F" w:rsidP="00724A0F">
      <w:pPr>
        <w:pStyle w:val="Caption"/>
        <w:spacing w:after="0" w:line="360" w:lineRule="auto"/>
        <w:jc w:val="both"/>
        <w:rPr>
          <w:rFonts w:cs="Times New Roman"/>
          <w:b w:val="0"/>
          <w:color w:val="auto"/>
          <w:sz w:val="20"/>
          <w:szCs w:val="24"/>
        </w:rPr>
      </w:pPr>
      <w:bookmarkStart w:id="3" w:name="_Ref448743056"/>
      <w:bookmarkStart w:id="4" w:name="_Toc460878436"/>
      <w:bookmarkEnd w:id="0"/>
      <w:bookmarkEnd w:id="1"/>
      <w:r w:rsidRPr="007562CB">
        <w:rPr>
          <w:rFonts w:cs="Times New Roman"/>
          <w:color w:val="auto"/>
          <w:sz w:val="20"/>
          <w:szCs w:val="24"/>
        </w:rPr>
        <w:lastRenderedPageBreak/>
        <w:t xml:space="preserve">Supplementary table </w:t>
      </w:r>
      <w:bookmarkEnd w:id="3"/>
      <w:r w:rsidRPr="007562CB">
        <w:rPr>
          <w:rFonts w:cs="Times New Roman"/>
          <w:noProof/>
          <w:color w:val="auto"/>
          <w:sz w:val="20"/>
          <w:szCs w:val="24"/>
        </w:rPr>
        <w:t>1:</w:t>
      </w:r>
      <w:r w:rsidRPr="007562CB">
        <w:rPr>
          <w:rFonts w:cs="Times New Roman"/>
          <w:color w:val="auto"/>
          <w:sz w:val="20"/>
          <w:szCs w:val="24"/>
        </w:rPr>
        <w:t xml:space="preserve"> Medication history</w:t>
      </w:r>
      <w:bookmarkEnd w:id="4"/>
      <w:r w:rsidRPr="007562CB">
        <w:rPr>
          <w:rFonts w:cs="Times New Roman"/>
          <w:color w:val="auto"/>
          <w:sz w:val="20"/>
          <w:szCs w:val="24"/>
        </w:rPr>
        <w:t xml:space="preserve">. </w:t>
      </w:r>
      <w:r w:rsidRPr="007562CB">
        <w:rPr>
          <w:rFonts w:eastAsia="Calibri" w:cs="Times New Roman"/>
          <w:b w:val="0"/>
          <w:sz w:val="20"/>
          <w:szCs w:val="24"/>
        </w:rPr>
        <w:t>Column percentages for each medication are shown.</w:t>
      </w:r>
      <w:r w:rsidRPr="007562CB">
        <w:rPr>
          <w:rFonts w:cs="Times New Roman"/>
          <w:b w:val="0"/>
          <w:color w:val="auto"/>
          <w:sz w:val="20"/>
          <w:szCs w:val="24"/>
        </w:rPr>
        <w:t xml:space="preserve"> </w:t>
      </w:r>
    </w:p>
    <w:tbl>
      <w:tblPr>
        <w:tblStyle w:val="TableGrid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1"/>
        <w:gridCol w:w="1417"/>
        <w:gridCol w:w="1418"/>
        <w:gridCol w:w="1417"/>
        <w:gridCol w:w="1276"/>
        <w:gridCol w:w="1134"/>
      </w:tblGrid>
      <w:tr w:rsidR="00724A0F" w:rsidRPr="00FE05C2" w14:paraId="0DDB7DDE" w14:textId="77777777" w:rsidTr="0055433A">
        <w:trPr>
          <w:tblHeader/>
        </w:trPr>
        <w:tc>
          <w:tcPr>
            <w:tcW w:w="301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905215" w14:textId="77777777" w:rsidR="00724A0F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A9AC78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b/>
                <w:sz w:val="20"/>
                <w:szCs w:val="20"/>
              </w:rPr>
              <w:t>Medication, n (%)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4A6450" w14:textId="77777777" w:rsidR="00724A0F" w:rsidRPr="008129B7" w:rsidRDefault="00724A0F" w:rsidP="005543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Diagnosis as per Reference Standard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F74068" w14:textId="77777777" w:rsidR="00724A0F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45C0B4" w14:textId="77777777" w:rsidR="00724A0F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  <w:p w14:paraId="37F7DB6B" w14:textId="77777777" w:rsidR="00A33A33" w:rsidRDefault="00A33A33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16EAC7A" w14:textId="28000EF8" w:rsidR="00A33A33" w:rsidRPr="00A227A2" w:rsidRDefault="00A33A33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 = 845</w:t>
            </w:r>
          </w:p>
        </w:tc>
      </w:tr>
      <w:tr w:rsidR="00724A0F" w:rsidRPr="00FE05C2" w14:paraId="4337F03B" w14:textId="77777777" w:rsidTr="0055433A">
        <w:trPr>
          <w:tblHeader/>
        </w:trPr>
        <w:tc>
          <w:tcPr>
            <w:tcW w:w="301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78744F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3216F3E" w14:textId="77777777" w:rsidR="00724A0F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b/>
                <w:sz w:val="20"/>
                <w:szCs w:val="20"/>
              </w:rPr>
              <w:t>Culture-confirmed TB</w:t>
            </w:r>
          </w:p>
          <w:p w14:paraId="0012C4B2" w14:textId="5A96A90E" w:rsidR="00A33A33" w:rsidRPr="00A227A2" w:rsidRDefault="00A33A33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 = 261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6E502F" w14:textId="77777777" w:rsidR="00724A0F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b/>
                <w:sz w:val="20"/>
                <w:szCs w:val="20"/>
              </w:rPr>
              <w:t>Highly-probable TB</w:t>
            </w:r>
          </w:p>
          <w:p w14:paraId="6B108F1E" w14:textId="6234C52E" w:rsidR="00A33A33" w:rsidRPr="00A227A2" w:rsidRDefault="00A33A33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 = 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6ADBDA" w14:textId="77777777" w:rsidR="00724A0F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b/>
                <w:sz w:val="20"/>
                <w:szCs w:val="20"/>
              </w:rPr>
              <w:t>Clinically indeterminate</w:t>
            </w:r>
          </w:p>
          <w:p w14:paraId="754F636A" w14:textId="76D2ECFF" w:rsidR="00A33A33" w:rsidRPr="00A227A2" w:rsidRDefault="00A33A33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 = 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80555C" w14:textId="77777777" w:rsidR="00724A0F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b/>
                <w:sz w:val="20"/>
                <w:szCs w:val="20"/>
              </w:rPr>
              <w:t>Active TB excluded</w:t>
            </w:r>
          </w:p>
          <w:p w14:paraId="01A5C82E" w14:textId="39C10A3B" w:rsidR="00A33A33" w:rsidRPr="00A227A2" w:rsidRDefault="00A33A33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 = 439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FD4B20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4A0F" w:rsidRPr="00FE05C2" w14:paraId="7F8A88B9" w14:textId="77777777" w:rsidTr="0055433A">
        <w:tc>
          <w:tcPr>
            <w:tcW w:w="3011" w:type="dxa"/>
            <w:hideMark/>
          </w:tcPr>
          <w:p w14:paraId="5407D210" w14:textId="77777777" w:rsidR="00724A0F" w:rsidRPr="00A227A2" w:rsidRDefault="00724A0F" w:rsidP="0055433A">
            <w:pPr>
              <w:spacing w:line="36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  <w:tc>
          <w:tcPr>
            <w:tcW w:w="1417" w:type="dxa"/>
            <w:hideMark/>
          </w:tcPr>
          <w:p w14:paraId="4B12865B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63 (24.1)</w:t>
            </w:r>
          </w:p>
        </w:tc>
        <w:tc>
          <w:tcPr>
            <w:tcW w:w="1418" w:type="dxa"/>
            <w:hideMark/>
          </w:tcPr>
          <w:p w14:paraId="20B92308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35 (34.3)</w:t>
            </w:r>
          </w:p>
        </w:tc>
        <w:tc>
          <w:tcPr>
            <w:tcW w:w="1417" w:type="dxa"/>
            <w:hideMark/>
          </w:tcPr>
          <w:p w14:paraId="7981B8CD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13 (30.2)</w:t>
            </w:r>
          </w:p>
        </w:tc>
        <w:tc>
          <w:tcPr>
            <w:tcW w:w="1276" w:type="dxa"/>
            <w:hideMark/>
          </w:tcPr>
          <w:p w14:paraId="009B9AF2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203 (46.2)</w:t>
            </w:r>
          </w:p>
        </w:tc>
        <w:tc>
          <w:tcPr>
            <w:tcW w:w="1134" w:type="dxa"/>
            <w:hideMark/>
          </w:tcPr>
          <w:p w14:paraId="6C93DCCD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314 (37.2)</w:t>
            </w:r>
          </w:p>
        </w:tc>
      </w:tr>
      <w:tr w:rsidR="00724A0F" w:rsidRPr="00FE05C2" w14:paraId="15BA604C" w14:textId="77777777" w:rsidTr="0055433A">
        <w:tc>
          <w:tcPr>
            <w:tcW w:w="3011" w:type="dxa"/>
            <w:hideMark/>
          </w:tcPr>
          <w:p w14:paraId="00AC2E4D" w14:textId="77777777" w:rsidR="00724A0F" w:rsidRPr="00A227A2" w:rsidRDefault="00724A0F" w:rsidP="0055433A">
            <w:pPr>
              <w:spacing w:line="36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Chemotherapy</w:t>
            </w:r>
          </w:p>
        </w:tc>
        <w:tc>
          <w:tcPr>
            <w:tcW w:w="1417" w:type="dxa"/>
            <w:hideMark/>
          </w:tcPr>
          <w:p w14:paraId="6878F4A5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hideMark/>
          </w:tcPr>
          <w:p w14:paraId="034E5263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hideMark/>
          </w:tcPr>
          <w:p w14:paraId="6EBB42E1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14:paraId="2101A44F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1 (0.2)</w:t>
            </w:r>
          </w:p>
        </w:tc>
        <w:tc>
          <w:tcPr>
            <w:tcW w:w="1134" w:type="dxa"/>
            <w:hideMark/>
          </w:tcPr>
          <w:p w14:paraId="57092AC3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1 (0.1)</w:t>
            </w:r>
          </w:p>
        </w:tc>
      </w:tr>
      <w:tr w:rsidR="00724A0F" w:rsidRPr="00FE05C2" w14:paraId="49D884C3" w14:textId="77777777" w:rsidTr="0055433A">
        <w:tc>
          <w:tcPr>
            <w:tcW w:w="3011" w:type="dxa"/>
            <w:hideMark/>
          </w:tcPr>
          <w:p w14:paraId="2A0CF4D7" w14:textId="3B15EDCE" w:rsidR="00724A0F" w:rsidRPr="00E73417" w:rsidRDefault="00724A0F" w:rsidP="0055433A">
            <w:pPr>
              <w:spacing w:line="36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73417">
              <w:rPr>
                <w:rFonts w:ascii="Times New Roman" w:hAnsi="Times New Roman" w:cs="Times New Roman"/>
                <w:sz w:val="20"/>
                <w:szCs w:val="20"/>
              </w:rPr>
              <w:t xml:space="preserve">Corticosteroids </w:t>
            </w:r>
            <w:r w:rsidR="0099564F" w:rsidRPr="00E73417">
              <w:rPr>
                <w:rFonts w:ascii="Times New Roman" w:hAnsi="Times New Roman" w:cs="Times New Roman"/>
                <w:sz w:val="20"/>
                <w:szCs w:val="20"/>
              </w:rPr>
              <w:t>≥</w:t>
            </w:r>
            <w:r w:rsidRPr="00E73417">
              <w:rPr>
                <w:rFonts w:ascii="Times New Roman" w:hAnsi="Times New Roman" w:cs="Times New Roman"/>
                <w:sz w:val="20"/>
                <w:szCs w:val="20"/>
              </w:rPr>
              <w:t>15 mg/day</w:t>
            </w:r>
          </w:p>
        </w:tc>
        <w:tc>
          <w:tcPr>
            <w:tcW w:w="1417" w:type="dxa"/>
            <w:hideMark/>
          </w:tcPr>
          <w:p w14:paraId="4E199C8B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20 (7.7)</w:t>
            </w:r>
          </w:p>
        </w:tc>
        <w:tc>
          <w:tcPr>
            <w:tcW w:w="1418" w:type="dxa"/>
            <w:hideMark/>
          </w:tcPr>
          <w:p w14:paraId="4797626D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5 (4.9)</w:t>
            </w:r>
          </w:p>
        </w:tc>
        <w:tc>
          <w:tcPr>
            <w:tcW w:w="1417" w:type="dxa"/>
            <w:hideMark/>
          </w:tcPr>
          <w:p w14:paraId="15A7D8F3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5 (11.6)</w:t>
            </w:r>
          </w:p>
        </w:tc>
        <w:tc>
          <w:tcPr>
            <w:tcW w:w="1276" w:type="dxa"/>
            <w:hideMark/>
          </w:tcPr>
          <w:p w14:paraId="633AA496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20 (4.6)</w:t>
            </w:r>
          </w:p>
        </w:tc>
        <w:tc>
          <w:tcPr>
            <w:tcW w:w="1134" w:type="dxa"/>
            <w:hideMark/>
          </w:tcPr>
          <w:p w14:paraId="5BC9052D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50 (5.9)</w:t>
            </w:r>
          </w:p>
        </w:tc>
      </w:tr>
      <w:tr w:rsidR="00724A0F" w:rsidRPr="00FE05C2" w14:paraId="5FAF320B" w14:textId="77777777" w:rsidTr="0055433A">
        <w:tc>
          <w:tcPr>
            <w:tcW w:w="3011" w:type="dxa"/>
            <w:hideMark/>
          </w:tcPr>
          <w:p w14:paraId="1269F885" w14:textId="77777777" w:rsidR="00724A0F" w:rsidRPr="00E73417" w:rsidRDefault="00724A0F" w:rsidP="0055433A">
            <w:pPr>
              <w:spacing w:line="36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73417">
              <w:rPr>
                <w:rFonts w:ascii="Times New Roman" w:hAnsi="Times New Roman" w:cs="Times New Roman"/>
                <w:sz w:val="20"/>
                <w:szCs w:val="20"/>
              </w:rPr>
              <w:t>Corticosteroids &lt;15 mg/day</w:t>
            </w:r>
          </w:p>
        </w:tc>
        <w:tc>
          <w:tcPr>
            <w:tcW w:w="1417" w:type="dxa"/>
            <w:hideMark/>
          </w:tcPr>
          <w:p w14:paraId="066FCB54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13 (5.0)</w:t>
            </w:r>
          </w:p>
        </w:tc>
        <w:tc>
          <w:tcPr>
            <w:tcW w:w="1418" w:type="dxa"/>
            <w:hideMark/>
          </w:tcPr>
          <w:p w14:paraId="09D81429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7 (6.9)</w:t>
            </w:r>
          </w:p>
        </w:tc>
        <w:tc>
          <w:tcPr>
            <w:tcW w:w="1417" w:type="dxa"/>
            <w:hideMark/>
          </w:tcPr>
          <w:p w14:paraId="418A16AD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1 (2.3)</w:t>
            </w:r>
          </w:p>
        </w:tc>
        <w:tc>
          <w:tcPr>
            <w:tcW w:w="1276" w:type="dxa"/>
            <w:hideMark/>
          </w:tcPr>
          <w:p w14:paraId="6994C403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19 (4.3)</w:t>
            </w:r>
          </w:p>
        </w:tc>
        <w:tc>
          <w:tcPr>
            <w:tcW w:w="1134" w:type="dxa"/>
            <w:hideMark/>
          </w:tcPr>
          <w:p w14:paraId="0B3086C7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40 (4.7)</w:t>
            </w:r>
          </w:p>
        </w:tc>
      </w:tr>
      <w:tr w:rsidR="00724A0F" w:rsidRPr="00FE05C2" w14:paraId="75638E34" w14:textId="77777777" w:rsidTr="0055433A">
        <w:tc>
          <w:tcPr>
            <w:tcW w:w="3011" w:type="dxa"/>
            <w:hideMark/>
          </w:tcPr>
          <w:p w14:paraId="5F1FC136" w14:textId="77777777" w:rsidR="00724A0F" w:rsidRPr="00A227A2" w:rsidRDefault="00724A0F" w:rsidP="0055433A">
            <w:pPr>
              <w:spacing w:line="36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Corticosteroids unknown</w:t>
            </w:r>
          </w:p>
        </w:tc>
        <w:tc>
          <w:tcPr>
            <w:tcW w:w="1417" w:type="dxa"/>
            <w:hideMark/>
          </w:tcPr>
          <w:p w14:paraId="60442010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1 (0.4)</w:t>
            </w:r>
          </w:p>
        </w:tc>
        <w:tc>
          <w:tcPr>
            <w:tcW w:w="1418" w:type="dxa"/>
            <w:hideMark/>
          </w:tcPr>
          <w:p w14:paraId="308EF1C9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1 (1.0)</w:t>
            </w:r>
          </w:p>
        </w:tc>
        <w:tc>
          <w:tcPr>
            <w:tcW w:w="1417" w:type="dxa"/>
            <w:hideMark/>
          </w:tcPr>
          <w:p w14:paraId="76DE7C0A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14:paraId="50498B89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hideMark/>
          </w:tcPr>
          <w:p w14:paraId="307AE302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2 (0.2)</w:t>
            </w:r>
          </w:p>
        </w:tc>
      </w:tr>
      <w:tr w:rsidR="00724A0F" w:rsidRPr="00FE05C2" w14:paraId="555B0CDC" w14:textId="77777777" w:rsidTr="0055433A">
        <w:tc>
          <w:tcPr>
            <w:tcW w:w="3011" w:type="dxa"/>
            <w:hideMark/>
          </w:tcPr>
          <w:p w14:paraId="07534FDD" w14:textId="77777777" w:rsidR="00724A0F" w:rsidRPr="00A227A2" w:rsidRDefault="00724A0F" w:rsidP="0055433A">
            <w:pPr>
              <w:spacing w:line="36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i</w:t>
            </w: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mmune suppressants</w:t>
            </w:r>
          </w:p>
        </w:tc>
        <w:tc>
          <w:tcPr>
            <w:tcW w:w="1417" w:type="dxa"/>
            <w:hideMark/>
          </w:tcPr>
          <w:p w14:paraId="222B8536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(0.4)</w:t>
            </w:r>
          </w:p>
        </w:tc>
        <w:tc>
          <w:tcPr>
            <w:tcW w:w="1418" w:type="dxa"/>
            <w:hideMark/>
          </w:tcPr>
          <w:p w14:paraId="7AA23DBC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hideMark/>
          </w:tcPr>
          <w:p w14:paraId="3D273C53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hideMark/>
          </w:tcPr>
          <w:p w14:paraId="25420CB4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14:paraId="71EE12FB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24A0F" w:rsidRPr="00FE05C2" w14:paraId="3AC5E71B" w14:textId="77777777" w:rsidTr="0055433A">
        <w:tc>
          <w:tcPr>
            <w:tcW w:w="3011" w:type="dxa"/>
            <w:hideMark/>
          </w:tcPr>
          <w:p w14:paraId="2109407F" w14:textId="77777777" w:rsidR="00724A0F" w:rsidRPr="00A227A2" w:rsidRDefault="00724A0F" w:rsidP="0055433A">
            <w:pPr>
              <w:spacing w:line="36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417" w:type="dxa"/>
            <w:hideMark/>
          </w:tcPr>
          <w:p w14:paraId="7AFC032D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191 (73.2)</w:t>
            </w:r>
          </w:p>
        </w:tc>
        <w:tc>
          <w:tcPr>
            <w:tcW w:w="1418" w:type="dxa"/>
            <w:hideMark/>
          </w:tcPr>
          <w:p w14:paraId="3112DAA5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64 (62.7)</w:t>
            </w:r>
          </w:p>
        </w:tc>
        <w:tc>
          <w:tcPr>
            <w:tcW w:w="1417" w:type="dxa"/>
            <w:hideMark/>
          </w:tcPr>
          <w:p w14:paraId="3B5ACB2D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30 (69.8)</w:t>
            </w:r>
          </w:p>
        </w:tc>
        <w:tc>
          <w:tcPr>
            <w:tcW w:w="1276" w:type="dxa"/>
            <w:hideMark/>
          </w:tcPr>
          <w:p w14:paraId="25315205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233 (53.1)</w:t>
            </w:r>
          </w:p>
        </w:tc>
        <w:tc>
          <w:tcPr>
            <w:tcW w:w="1134" w:type="dxa"/>
            <w:hideMark/>
          </w:tcPr>
          <w:p w14:paraId="70244708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518 (61.3)</w:t>
            </w:r>
          </w:p>
        </w:tc>
      </w:tr>
      <w:tr w:rsidR="00724A0F" w:rsidRPr="00FE05C2" w14:paraId="4BCC4A4F" w14:textId="77777777" w:rsidTr="0055433A">
        <w:tc>
          <w:tcPr>
            <w:tcW w:w="30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53FD18C" w14:textId="77777777" w:rsidR="00724A0F" w:rsidRPr="00A227A2" w:rsidRDefault="00724A0F" w:rsidP="0055433A">
            <w:pPr>
              <w:spacing w:line="36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Unknown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C56C06E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1 (0.4)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720E3E5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3D3C147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DAA88A7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1 (0.2)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2492991" w14:textId="77777777" w:rsidR="00724A0F" w:rsidRPr="00A227A2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hAnsi="Times New Roman" w:cs="Times New Roman"/>
                <w:sz w:val="20"/>
                <w:szCs w:val="20"/>
              </w:rPr>
              <w:t>2 (0.2)</w:t>
            </w:r>
          </w:p>
        </w:tc>
      </w:tr>
    </w:tbl>
    <w:p w14:paraId="774BA019" w14:textId="77777777" w:rsidR="00724A0F" w:rsidRDefault="00724A0F" w:rsidP="00724A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49E967" w14:textId="77777777" w:rsidR="00724A0F" w:rsidRPr="001B1048" w:rsidRDefault="00724A0F" w:rsidP="00724A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D8BD3E2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4C592D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05BF2E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842B85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863EB2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20010B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D4B653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6351E3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495319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05B38E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C647BF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BB394A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9189A0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4598C61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A6B2321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B2F842E" w14:textId="07E46AF2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E76862" w14:textId="289C575A" w:rsidR="00031F86" w:rsidRDefault="00031F86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0CFE77F" w14:textId="77777777" w:rsidR="00031F86" w:rsidRDefault="00031F86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EE8E5C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D83B5C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6A0D64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908E6A" w14:textId="77777777" w:rsidR="00724A0F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5C91BA" w14:textId="77777777" w:rsidR="00724A0F" w:rsidRPr="007562CB" w:rsidRDefault="00724A0F" w:rsidP="00724A0F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562CB">
        <w:rPr>
          <w:rFonts w:ascii="Times New Roman" w:eastAsia="Calibri" w:hAnsi="Times New Roman" w:cs="Times New Roman"/>
          <w:b/>
          <w:bCs/>
          <w:sz w:val="20"/>
          <w:szCs w:val="24"/>
        </w:rPr>
        <w:lastRenderedPageBreak/>
        <w:t xml:space="preserve">Supplementary table </w:t>
      </w:r>
      <w:r w:rsidRPr="007562CB">
        <w:rPr>
          <w:rFonts w:ascii="Times New Roman" w:eastAsia="Calibri" w:hAnsi="Times New Roman" w:cs="Times New Roman"/>
          <w:b/>
          <w:bCs/>
          <w:noProof/>
          <w:sz w:val="20"/>
          <w:szCs w:val="24"/>
        </w:rPr>
        <w:t>2:</w:t>
      </w:r>
      <w:r w:rsidRPr="007562CB">
        <w:rPr>
          <w:rFonts w:ascii="Times New Roman" w:eastAsia="Calibri" w:hAnsi="Times New Roman" w:cs="Times New Roman"/>
          <w:b/>
          <w:bCs/>
          <w:sz w:val="20"/>
          <w:szCs w:val="24"/>
        </w:rPr>
        <w:t xml:space="preserve"> Symptoms at presentation.</w:t>
      </w:r>
      <w:r w:rsidRPr="007562CB">
        <w:rPr>
          <w:rFonts w:ascii="Times New Roman" w:eastAsia="Calibri" w:hAnsi="Times New Roman" w:cs="Times New Roman"/>
          <w:sz w:val="20"/>
          <w:szCs w:val="24"/>
        </w:rPr>
        <w:t xml:space="preserve"> Column percentages for each symptom are shown.</w:t>
      </w:r>
    </w:p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44"/>
        <w:gridCol w:w="1508"/>
        <w:gridCol w:w="1362"/>
        <w:gridCol w:w="1449"/>
        <w:gridCol w:w="1276"/>
        <w:gridCol w:w="1134"/>
      </w:tblGrid>
      <w:tr w:rsidR="00724A0F" w:rsidRPr="006C3B0A" w14:paraId="4FA70AB2" w14:textId="77777777" w:rsidTr="0055433A">
        <w:tc>
          <w:tcPr>
            <w:tcW w:w="2944" w:type="dxa"/>
            <w:vMerge w:val="restart"/>
            <w:tcBorders>
              <w:top w:val="single" w:sz="12" w:space="0" w:color="auto"/>
            </w:tcBorders>
          </w:tcPr>
          <w:p w14:paraId="134F7D7E" w14:textId="77777777" w:rsidR="00724A0F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B8DF40E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Symptom</w:t>
            </w:r>
          </w:p>
        </w:tc>
        <w:tc>
          <w:tcPr>
            <w:tcW w:w="5595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3FD8C083" w14:textId="77777777" w:rsidR="00724A0F" w:rsidRPr="00A227A2" w:rsidRDefault="00724A0F" w:rsidP="0055433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Diagnosis as per Reference Standard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14:paraId="795E2C24" w14:textId="77777777" w:rsidR="00724A0F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B58BE54" w14:textId="77777777" w:rsidR="00724A0F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Total</w:t>
            </w:r>
          </w:p>
          <w:p w14:paraId="4B2D18BC" w14:textId="77777777" w:rsidR="00A33A33" w:rsidRDefault="00A33A33" w:rsidP="0055433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CD05704" w14:textId="0A6A15BF" w:rsidR="00A33A33" w:rsidRPr="002A51E0" w:rsidRDefault="00A33A33" w:rsidP="0055433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 = 827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a</w:t>
            </w:r>
          </w:p>
        </w:tc>
      </w:tr>
      <w:tr w:rsidR="00724A0F" w:rsidRPr="006C3B0A" w14:paraId="059D1254" w14:textId="77777777" w:rsidTr="0055433A">
        <w:tc>
          <w:tcPr>
            <w:tcW w:w="2944" w:type="dxa"/>
            <w:vMerge/>
            <w:tcBorders>
              <w:bottom w:val="single" w:sz="4" w:space="0" w:color="auto"/>
            </w:tcBorders>
          </w:tcPr>
          <w:p w14:paraId="56522B20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14:paraId="42D76577" w14:textId="77777777" w:rsidR="00724A0F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Culture-confirmed TB</w:t>
            </w:r>
          </w:p>
          <w:p w14:paraId="294D4A03" w14:textId="3F845AE9" w:rsidR="00A33A33" w:rsidRPr="00A227A2" w:rsidRDefault="00A33A33" w:rsidP="0055433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 = </w:t>
            </w:r>
            <w:r w:rsidR="00E342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256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6C01A943" w14:textId="77777777" w:rsidR="00724A0F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Highly-probable TB</w:t>
            </w:r>
          </w:p>
          <w:p w14:paraId="151D1156" w14:textId="3CDA93AB" w:rsidR="00A33A33" w:rsidRPr="00A227A2" w:rsidRDefault="00A33A33" w:rsidP="0055433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 = </w:t>
            </w:r>
            <w:r w:rsidR="00646F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7B5360A3" w14:textId="77777777" w:rsidR="00724A0F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Clinically indeterminate</w:t>
            </w:r>
          </w:p>
          <w:p w14:paraId="172EC538" w14:textId="2D468ABA" w:rsidR="00A33A33" w:rsidRPr="00A227A2" w:rsidRDefault="00A33A33" w:rsidP="0055433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 = </w:t>
            </w:r>
            <w:r w:rsidR="00E342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5961470" w14:textId="77777777" w:rsidR="00724A0F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Active TB excluded</w:t>
            </w:r>
          </w:p>
          <w:p w14:paraId="7850B8ED" w14:textId="536E8449" w:rsidR="00A33A33" w:rsidRPr="00A227A2" w:rsidRDefault="00A33A33" w:rsidP="0055433A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N = </w:t>
            </w:r>
            <w:r w:rsidR="00E342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429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BD35628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4A0F" w:rsidRPr="006C3B0A" w14:paraId="49A1FAFE" w14:textId="77777777" w:rsidTr="0055433A">
        <w:tc>
          <w:tcPr>
            <w:tcW w:w="2944" w:type="dxa"/>
            <w:tcBorders>
              <w:top w:val="single" w:sz="4" w:space="0" w:color="auto"/>
            </w:tcBorders>
          </w:tcPr>
          <w:p w14:paraId="75D4D32A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Cough, n (%)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bottom"/>
          </w:tcPr>
          <w:p w14:paraId="00B5EA5F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174 (68.0)</w:t>
            </w:r>
          </w:p>
        </w:tc>
        <w:tc>
          <w:tcPr>
            <w:tcW w:w="1362" w:type="dxa"/>
            <w:tcBorders>
              <w:top w:val="single" w:sz="4" w:space="0" w:color="auto"/>
            </w:tcBorders>
            <w:vAlign w:val="bottom"/>
          </w:tcPr>
          <w:p w14:paraId="5DECF894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53 (53.5)</w:t>
            </w:r>
          </w:p>
        </w:tc>
        <w:tc>
          <w:tcPr>
            <w:tcW w:w="1449" w:type="dxa"/>
            <w:tcBorders>
              <w:top w:val="single" w:sz="4" w:space="0" w:color="auto"/>
            </w:tcBorders>
            <w:vAlign w:val="bottom"/>
          </w:tcPr>
          <w:p w14:paraId="67093D33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23 (53.5)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687DC75C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326 (76.0)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3C55FB99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576 (69.6)</w:t>
            </w:r>
          </w:p>
        </w:tc>
      </w:tr>
      <w:tr w:rsidR="00724A0F" w:rsidRPr="006C3B0A" w14:paraId="474D3CC7" w14:textId="77777777" w:rsidTr="0055433A">
        <w:tc>
          <w:tcPr>
            <w:tcW w:w="2944" w:type="dxa"/>
          </w:tcPr>
          <w:p w14:paraId="6626B704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Fever, n (%)</w:t>
            </w:r>
          </w:p>
        </w:tc>
        <w:tc>
          <w:tcPr>
            <w:tcW w:w="1508" w:type="dxa"/>
            <w:vAlign w:val="bottom"/>
          </w:tcPr>
          <w:p w14:paraId="7647FF00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126 (49.2)</w:t>
            </w:r>
          </w:p>
        </w:tc>
        <w:tc>
          <w:tcPr>
            <w:tcW w:w="1362" w:type="dxa"/>
            <w:vAlign w:val="bottom"/>
          </w:tcPr>
          <w:p w14:paraId="430E8814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49 (49.5)</w:t>
            </w:r>
          </w:p>
        </w:tc>
        <w:tc>
          <w:tcPr>
            <w:tcW w:w="1449" w:type="dxa"/>
            <w:vAlign w:val="bottom"/>
          </w:tcPr>
          <w:p w14:paraId="1F874275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14 (32.6)</w:t>
            </w:r>
          </w:p>
        </w:tc>
        <w:tc>
          <w:tcPr>
            <w:tcW w:w="1276" w:type="dxa"/>
            <w:vAlign w:val="bottom"/>
          </w:tcPr>
          <w:p w14:paraId="230D3828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195 (45.5)</w:t>
            </w:r>
          </w:p>
        </w:tc>
        <w:tc>
          <w:tcPr>
            <w:tcW w:w="1134" w:type="dxa"/>
            <w:vAlign w:val="bottom"/>
          </w:tcPr>
          <w:p w14:paraId="4D300C1B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384 (46.4)</w:t>
            </w:r>
          </w:p>
        </w:tc>
      </w:tr>
      <w:tr w:rsidR="00724A0F" w:rsidRPr="006C3B0A" w14:paraId="648DE205" w14:textId="77777777" w:rsidTr="0055433A">
        <w:tc>
          <w:tcPr>
            <w:tcW w:w="2944" w:type="dxa"/>
          </w:tcPr>
          <w:p w14:paraId="79217761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Night sweats, n (%)</w:t>
            </w:r>
          </w:p>
        </w:tc>
        <w:tc>
          <w:tcPr>
            <w:tcW w:w="1508" w:type="dxa"/>
            <w:vAlign w:val="bottom"/>
          </w:tcPr>
          <w:p w14:paraId="13EDC352" w14:textId="75E3B3F1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129</w:t>
            </w:r>
            <w:r w:rsidR="00646F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(50.4)</w:t>
            </w:r>
          </w:p>
        </w:tc>
        <w:tc>
          <w:tcPr>
            <w:tcW w:w="1362" w:type="dxa"/>
            <w:vAlign w:val="bottom"/>
          </w:tcPr>
          <w:p w14:paraId="236AD6AA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53 (53.5)</w:t>
            </w:r>
          </w:p>
        </w:tc>
        <w:tc>
          <w:tcPr>
            <w:tcW w:w="1449" w:type="dxa"/>
            <w:vAlign w:val="bottom"/>
          </w:tcPr>
          <w:p w14:paraId="54BA023C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20 (46.5)</w:t>
            </w:r>
          </w:p>
        </w:tc>
        <w:tc>
          <w:tcPr>
            <w:tcW w:w="1276" w:type="dxa"/>
            <w:vAlign w:val="bottom"/>
          </w:tcPr>
          <w:p w14:paraId="7EF4A6C3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215 (50.1)</w:t>
            </w:r>
          </w:p>
        </w:tc>
        <w:tc>
          <w:tcPr>
            <w:tcW w:w="1134" w:type="dxa"/>
            <w:vAlign w:val="bottom"/>
          </w:tcPr>
          <w:p w14:paraId="0AAE876C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417 (50.4)</w:t>
            </w:r>
          </w:p>
        </w:tc>
      </w:tr>
      <w:tr w:rsidR="00724A0F" w:rsidRPr="006C3B0A" w14:paraId="29627755" w14:textId="77777777" w:rsidTr="0055433A">
        <w:tc>
          <w:tcPr>
            <w:tcW w:w="2944" w:type="dxa"/>
          </w:tcPr>
          <w:p w14:paraId="3224C4F7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Weight loss, n (%)</w:t>
            </w:r>
          </w:p>
        </w:tc>
        <w:tc>
          <w:tcPr>
            <w:tcW w:w="1508" w:type="dxa"/>
            <w:vAlign w:val="bottom"/>
          </w:tcPr>
          <w:p w14:paraId="47A507D4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154 (60.2)</w:t>
            </w:r>
          </w:p>
        </w:tc>
        <w:tc>
          <w:tcPr>
            <w:tcW w:w="1362" w:type="dxa"/>
            <w:vAlign w:val="bottom"/>
          </w:tcPr>
          <w:p w14:paraId="212A3087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54 (54.5)</w:t>
            </w:r>
          </w:p>
        </w:tc>
        <w:tc>
          <w:tcPr>
            <w:tcW w:w="1449" w:type="dxa"/>
            <w:vAlign w:val="bottom"/>
          </w:tcPr>
          <w:p w14:paraId="6A945CB8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21 (48.8)</w:t>
            </w:r>
          </w:p>
        </w:tc>
        <w:tc>
          <w:tcPr>
            <w:tcW w:w="1276" w:type="dxa"/>
            <w:vAlign w:val="bottom"/>
          </w:tcPr>
          <w:p w14:paraId="58B5E917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211 (49.2)</w:t>
            </w:r>
          </w:p>
        </w:tc>
        <w:tc>
          <w:tcPr>
            <w:tcW w:w="1134" w:type="dxa"/>
            <w:vAlign w:val="bottom"/>
          </w:tcPr>
          <w:p w14:paraId="55BC06EC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440 (53.2)</w:t>
            </w:r>
          </w:p>
        </w:tc>
      </w:tr>
      <w:tr w:rsidR="00724A0F" w:rsidRPr="006C3B0A" w14:paraId="6E5DF63D" w14:textId="77777777" w:rsidTr="0055433A">
        <w:tc>
          <w:tcPr>
            <w:tcW w:w="2944" w:type="dxa"/>
          </w:tcPr>
          <w:p w14:paraId="4188CB6D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Haemoptysis, n (%)</w:t>
            </w:r>
          </w:p>
        </w:tc>
        <w:tc>
          <w:tcPr>
            <w:tcW w:w="1508" w:type="dxa"/>
            <w:vAlign w:val="bottom"/>
          </w:tcPr>
          <w:p w14:paraId="37F0DC61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31 (12.1)</w:t>
            </w:r>
          </w:p>
        </w:tc>
        <w:tc>
          <w:tcPr>
            <w:tcW w:w="1362" w:type="dxa"/>
            <w:vAlign w:val="bottom"/>
          </w:tcPr>
          <w:p w14:paraId="2E434F87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8 (8.0)</w:t>
            </w:r>
          </w:p>
        </w:tc>
        <w:tc>
          <w:tcPr>
            <w:tcW w:w="1449" w:type="dxa"/>
            <w:vAlign w:val="bottom"/>
          </w:tcPr>
          <w:p w14:paraId="674EC329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3 (7.0)</w:t>
            </w:r>
          </w:p>
        </w:tc>
        <w:tc>
          <w:tcPr>
            <w:tcW w:w="1276" w:type="dxa"/>
            <w:vAlign w:val="bottom"/>
          </w:tcPr>
          <w:p w14:paraId="53A1E2EC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65 (15.2)</w:t>
            </w:r>
          </w:p>
        </w:tc>
        <w:tc>
          <w:tcPr>
            <w:tcW w:w="1134" w:type="dxa"/>
            <w:vAlign w:val="bottom"/>
          </w:tcPr>
          <w:p w14:paraId="048B4836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107 (12.9)</w:t>
            </w:r>
          </w:p>
        </w:tc>
      </w:tr>
      <w:tr w:rsidR="00724A0F" w:rsidRPr="006C3B0A" w14:paraId="08824F0A" w14:textId="77777777" w:rsidTr="0055433A">
        <w:tc>
          <w:tcPr>
            <w:tcW w:w="2944" w:type="dxa"/>
          </w:tcPr>
          <w:p w14:paraId="25BC6BF6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Lethargy, n (%)</w:t>
            </w:r>
          </w:p>
        </w:tc>
        <w:tc>
          <w:tcPr>
            <w:tcW w:w="1508" w:type="dxa"/>
          </w:tcPr>
          <w:p w14:paraId="48868220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133 (52.0)</w:t>
            </w:r>
          </w:p>
        </w:tc>
        <w:tc>
          <w:tcPr>
            <w:tcW w:w="1362" w:type="dxa"/>
          </w:tcPr>
          <w:p w14:paraId="6B3AE395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56 (56.6)</w:t>
            </w:r>
          </w:p>
        </w:tc>
        <w:tc>
          <w:tcPr>
            <w:tcW w:w="1449" w:type="dxa"/>
          </w:tcPr>
          <w:p w14:paraId="4D39C2CA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23 (53.5)</w:t>
            </w:r>
          </w:p>
        </w:tc>
        <w:tc>
          <w:tcPr>
            <w:tcW w:w="1276" w:type="dxa"/>
          </w:tcPr>
          <w:p w14:paraId="3BF29C5F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222 (51.7)</w:t>
            </w:r>
          </w:p>
        </w:tc>
        <w:tc>
          <w:tcPr>
            <w:tcW w:w="1134" w:type="dxa"/>
          </w:tcPr>
          <w:p w14:paraId="6565ABF2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434 (52.5)</w:t>
            </w:r>
          </w:p>
        </w:tc>
      </w:tr>
      <w:tr w:rsidR="00724A0F" w:rsidRPr="006C3B0A" w14:paraId="11CF897A" w14:textId="77777777" w:rsidTr="0055433A">
        <w:tc>
          <w:tcPr>
            <w:tcW w:w="2944" w:type="dxa"/>
          </w:tcPr>
          <w:p w14:paraId="0A1EEA3C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Other, n (%)</w:t>
            </w:r>
          </w:p>
        </w:tc>
        <w:tc>
          <w:tcPr>
            <w:tcW w:w="1508" w:type="dxa"/>
            <w:vAlign w:val="bottom"/>
          </w:tcPr>
          <w:p w14:paraId="5F0CAABB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163 (63.7)</w:t>
            </w:r>
          </w:p>
        </w:tc>
        <w:tc>
          <w:tcPr>
            <w:tcW w:w="1362" w:type="dxa"/>
            <w:vAlign w:val="bottom"/>
          </w:tcPr>
          <w:p w14:paraId="03FEA4D9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59 (59.46)</w:t>
            </w:r>
          </w:p>
        </w:tc>
        <w:tc>
          <w:tcPr>
            <w:tcW w:w="1449" w:type="dxa"/>
            <w:vAlign w:val="bottom"/>
          </w:tcPr>
          <w:p w14:paraId="5B06D54C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25 (58.1)</w:t>
            </w:r>
          </w:p>
        </w:tc>
        <w:tc>
          <w:tcPr>
            <w:tcW w:w="1276" w:type="dxa"/>
            <w:vAlign w:val="bottom"/>
          </w:tcPr>
          <w:p w14:paraId="3031B4DA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202 (47.1)</w:t>
            </w:r>
          </w:p>
        </w:tc>
        <w:tc>
          <w:tcPr>
            <w:tcW w:w="1134" w:type="dxa"/>
            <w:vAlign w:val="bottom"/>
          </w:tcPr>
          <w:p w14:paraId="7DF3ECC7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449 (54.3)</w:t>
            </w:r>
          </w:p>
        </w:tc>
      </w:tr>
      <w:tr w:rsidR="00724A0F" w:rsidRPr="006C3B0A" w14:paraId="51A21D41" w14:textId="77777777" w:rsidTr="0055433A">
        <w:tc>
          <w:tcPr>
            <w:tcW w:w="2944" w:type="dxa"/>
            <w:tcBorders>
              <w:bottom w:val="single" w:sz="12" w:space="0" w:color="auto"/>
            </w:tcBorders>
          </w:tcPr>
          <w:p w14:paraId="61D9D879" w14:textId="77777777" w:rsidR="00724A0F" w:rsidRPr="00A227A2" w:rsidRDefault="00724A0F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Median n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o.</w:t>
            </w:r>
            <w:r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symptoms (range)</w:t>
            </w:r>
          </w:p>
        </w:tc>
        <w:tc>
          <w:tcPr>
            <w:tcW w:w="1508" w:type="dxa"/>
            <w:tcBorders>
              <w:bottom w:val="single" w:sz="12" w:space="0" w:color="auto"/>
            </w:tcBorders>
            <w:vAlign w:val="bottom"/>
          </w:tcPr>
          <w:p w14:paraId="7D527AE9" w14:textId="4170A0E5" w:rsidR="00724A0F" w:rsidRPr="00A227A2" w:rsidRDefault="00495C52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24A0F"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24A0F"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–1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724A0F"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62" w:type="dxa"/>
            <w:tcBorders>
              <w:bottom w:val="single" w:sz="12" w:space="0" w:color="auto"/>
            </w:tcBorders>
            <w:vAlign w:val="bottom"/>
          </w:tcPr>
          <w:p w14:paraId="60423E7E" w14:textId="533A9329" w:rsidR="00724A0F" w:rsidRPr="00A227A2" w:rsidRDefault="00495C52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r w:rsidR="00724A0F"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24A0F"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724A0F"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9" w:type="dxa"/>
            <w:tcBorders>
              <w:bottom w:val="single" w:sz="12" w:space="0" w:color="auto"/>
            </w:tcBorders>
            <w:vAlign w:val="bottom"/>
          </w:tcPr>
          <w:p w14:paraId="68645FBB" w14:textId="77535C55" w:rsidR="00724A0F" w:rsidRPr="00A227A2" w:rsidRDefault="00495C52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24A0F"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24A0F"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724A0F"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bottom"/>
          </w:tcPr>
          <w:p w14:paraId="6DB981B7" w14:textId="24838034" w:rsidR="00724A0F" w:rsidRPr="00A227A2" w:rsidRDefault="00495C52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724A0F"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24A0F"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–10)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bottom"/>
          </w:tcPr>
          <w:p w14:paraId="00B24232" w14:textId="3EA7868C" w:rsidR="00724A0F" w:rsidRPr="00A227A2" w:rsidRDefault="00495C52" w:rsidP="0055433A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24A0F"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24A0F"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–1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724A0F" w:rsidRPr="00A227A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</w:tbl>
    <w:p w14:paraId="53491D15" w14:textId="3AC4F395" w:rsidR="00724A0F" w:rsidRPr="002A51E0" w:rsidRDefault="00A33A33" w:rsidP="00724A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2A51E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2A51E0">
        <w:rPr>
          <w:rFonts w:ascii="Times New Roman" w:hAnsi="Times New Roman" w:cs="Times New Roman"/>
          <w:sz w:val="20"/>
          <w:szCs w:val="20"/>
        </w:rPr>
        <w:t>Eighteen</w:t>
      </w:r>
      <w:proofErr w:type="spellEnd"/>
      <w:r w:rsidRPr="002A51E0">
        <w:rPr>
          <w:rFonts w:ascii="Times New Roman" w:hAnsi="Times New Roman" w:cs="Times New Roman"/>
          <w:sz w:val="20"/>
          <w:szCs w:val="20"/>
        </w:rPr>
        <w:t xml:space="preserve"> participants were recruited on the basis of </w:t>
      </w:r>
      <w:r w:rsidR="00BB3B18">
        <w:rPr>
          <w:rFonts w:ascii="Times New Roman" w:hAnsi="Times New Roman" w:cs="Times New Roman"/>
          <w:sz w:val="20"/>
          <w:szCs w:val="20"/>
        </w:rPr>
        <w:t>abnormal clinical signs rather than symptoms</w:t>
      </w:r>
      <w:r w:rsidRPr="002A51E0">
        <w:rPr>
          <w:rFonts w:ascii="Times New Roman" w:hAnsi="Times New Roman" w:cs="Times New Roman"/>
          <w:sz w:val="20"/>
          <w:szCs w:val="20"/>
        </w:rPr>
        <w:t>.</w:t>
      </w:r>
    </w:p>
    <w:p w14:paraId="36ED8519" w14:textId="77777777" w:rsidR="00724A0F" w:rsidRPr="00957E32" w:rsidRDefault="00724A0F" w:rsidP="00724A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3CAE04" w14:textId="77777777" w:rsidR="00724A0F" w:rsidRPr="00957E32" w:rsidRDefault="00724A0F" w:rsidP="00724A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EC8CD3" w14:textId="77777777" w:rsidR="00724A0F" w:rsidRDefault="00724A0F" w:rsidP="00724A0F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24A0F" w:rsidSect="0055433A">
          <w:footerReference w:type="default" r:id="rId8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AE3250F" w14:textId="77777777" w:rsidR="00724A0F" w:rsidRPr="007562CB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62CB">
        <w:rPr>
          <w:rFonts w:ascii="Times New Roman" w:hAnsi="Times New Roman" w:cs="Times New Roman"/>
          <w:b/>
          <w:bCs/>
          <w:sz w:val="20"/>
          <w:szCs w:val="24"/>
        </w:rPr>
        <w:lastRenderedPageBreak/>
        <w:t>Supplementary table 3: Cross-tabulation of T-SPOT.TB and QFT-GIT results for patients with active TB (active TB positive) and non-TB diagnoses (active TB-negative)</w:t>
      </w:r>
    </w:p>
    <w:tbl>
      <w:tblPr>
        <w:tblW w:w="8944" w:type="dxa"/>
        <w:tblInd w:w="-5" w:type="dxa"/>
        <w:tblLook w:val="04A0" w:firstRow="1" w:lastRow="0" w:firstColumn="1" w:lastColumn="0" w:noHBand="0" w:noVBand="1"/>
      </w:tblPr>
      <w:tblGrid>
        <w:gridCol w:w="1283"/>
        <w:gridCol w:w="1503"/>
        <w:gridCol w:w="916"/>
        <w:gridCol w:w="1010"/>
        <w:gridCol w:w="1157"/>
        <w:gridCol w:w="1503"/>
        <w:gridCol w:w="897"/>
        <w:gridCol w:w="675"/>
      </w:tblGrid>
      <w:tr w:rsidR="00724A0F" w:rsidRPr="00DF35F2" w14:paraId="6E3A7A01" w14:textId="77777777" w:rsidTr="0055433A">
        <w:trPr>
          <w:trHeight w:val="290"/>
        </w:trPr>
        <w:tc>
          <w:tcPr>
            <w:tcW w:w="2786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1A950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649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ACTIVE TB POSITVE</w:t>
            </w:r>
          </w:p>
        </w:tc>
        <w:tc>
          <w:tcPr>
            <w:tcW w:w="6158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992C04" w14:textId="19BEE02A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T-SPOT</w:t>
            </w:r>
            <w:r w:rsidR="00797C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.TB</w:t>
            </w:r>
          </w:p>
        </w:tc>
      </w:tr>
      <w:tr w:rsidR="00724A0F" w:rsidRPr="00DF35F2" w14:paraId="29C4E4CD" w14:textId="77777777" w:rsidTr="0055433A">
        <w:trPr>
          <w:trHeight w:val="290"/>
        </w:trPr>
        <w:tc>
          <w:tcPr>
            <w:tcW w:w="128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4676F93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F3033F2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74580B7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6067AFFD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04D77001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Borderline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7F089D6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Indeterminate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41E4CEC7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01DD81B0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724A0F" w:rsidRPr="00DF35F2" w14:paraId="3577302D" w14:textId="77777777" w:rsidTr="0055433A">
        <w:trPr>
          <w:trHeight w:val="290"/>
        </w:trPr>
        <w:tc>
          <w:tcPr>
            <w:tcW w:w="1283" w:type="dxa"/>
            <w:vMerge w:val="restart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018A583B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QFT-GIT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33678C0D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2674A68B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6425DCFA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B9B470A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2F010F1E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6ADCC7C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648AA209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220</w:t>
            </w:r>
          </w:p>
        </w:tc>
      </w:tr>
      <w:tr w:rsidR="00724A0F" w:rsidRPr="00DF35F2" w14:paraId="280E29D7" w14:textId="77777777" w:rsidTr="0055433A">
        <w:trPr>
          <w:trHeight w:val="290"/>
        </w:trPr>
        <w:tc>
          <w:tcPr>
            <w:tcW w:w="1283" w:type="dxa"/>
            <w:vMerge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38800052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219918B1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0954FC0C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C55FF40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2A2DF824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40955844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3C6804B7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D89BC6A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107</w:t>
            </w:r>
          </w:p>
        </w:tc>
      </w:tr>
      <w:tr w:rsidR="00724A0F" w:rsidRPr="00DF35F2" w14:paraId="2B90E82B" w14:textId="77777777" w:rsidTr="0055433A">
        <w:trPr>
          <w:trHeight w:val="290"/>
        </w:trPr>
        <w:tc>
          <w:tcPr>
            <w:tcW w:w="1283" w:type="dxa"/>
            <w:vMerge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4267F658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2962749F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Indeterminate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4120CBC2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22359CB5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DC98D50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383F33CB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6BB2C4CA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4434759D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</w:tr>
      <w:tr w:rsidR="00724A0F" w:rsidRPr="00DF35F2" w14:paraId="35CD7724" w14:textId="77777777" w:rsidTr="0055433A">
        <w:trPr>
          <w:trHeight w:val="290"/>
        </w:trPr>
        <w:tc>
          <w:tcPr>
            <w:tcW w:w="1283" w:type="dxa"/>
            <w:vMerge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14:paraId="7127952E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6930491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2122F616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5476170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2E71EF6A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63FA744C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A4C69B1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007F7C3A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10</w:t>
            </w:r>
          </w:p>
        </w:tc>
      </w:tr>
      <w:tr w:rsidR="00724A0F" w:rsidRPr="00DF35F2" w14:paraId="65BEE009" w14:textId="77777777" w:rsidTr="0055433A">
        <w:trPr>
          <w:trHeight w:val="290"/>
        </w:trPr>
        <w:tc>
          <w:tcPr>
            <w:tcW w:w="1283" w:type="dxa"/>
            <w:vMerge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607127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E1B8A3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52C64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01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34D6BD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15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1EE567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50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538AF8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97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70AF5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75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F3C420E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363</w:t>
            </w:r>
          </w:p>
        </w:tc>
      </w:tr>
      <w:tr w:rsidR="00724A0F" w:rsidRPr="00DF35F2" w14:paraId="2812215B" w14:textId="77777777" w:rsidTr="0055433A">
        <w:trPr>
          <w:trHeight w:val="290"/>
        </w:trPr>
        <w:tc>
          <w:tcPr>
            <w:tcW w:w="2786" w:type="dxa"/>
            <w:gridSpan w:val="2"/>
            <w:tcBorders>
              <w:top w:val="single" w:sz="4" w:space="0" w:color="auto"/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14:paraId="66A5A803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F19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ACTIVE TB NEGATIVE</w:t>
            </w:r>
          </w:p>
        </w:tc>
        <w:tc>
          <w:tcPr>
            <w:tcW w:w="615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2B66C2" w14:textId="7B79AA1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T-SPOT</w:t>
            </w:r>
            <w:r w:rsidR="00797C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.TB</w:t>
            </w:r>
          </w:p>
        </w:tc>
      </w:tr>
      <w:tr w:rsidR="00724A0F" w:rsidRPr="00DF35F2" w14:paraId="6D13C9EA" w14:textId="77777777" w:rsidTr="0055433A">
        <w:trPr>
          <w:trHeight w:val="290"/>
        </w:trPr>
        <w:tc>
          <w:tcPr>
            <w:tcW w:w="1283" w:type="dxa"/>
            <w:tcBorders>
              <w:top w:val="nil"/>
              <w:left w:val="nil"/>
            </w:tcBorders>
            <w:shd w:val="clear" w:color="auto" w:fill="FFFFFF" w:themeFill="background1"/>
            <w:noWrap/>
            <w:vAlign w:val="center"/>
            <w:hideMark/>
          </w:tcPr>
          <w:p w14:paraId="5A9663B8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67C6482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D28A0D2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AAE9113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36005840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Borderline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46465AA1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Indeterminate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40FA1FD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36C63609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Total</w:t>
            </w:r>
          </w:p>
        </w:tc>
      </w:tr>
      <w:tr w:rsidR="00724A0F" w:rsidRPr="00DF35F2" w14:paraId="65DABB8D" w14:textId="77777777" w:rsidTr="0055433A">
        <w:trPr>
          <w:trHeight w:val="290"/>
        </w:trPr>
        <w:tc>
          <w:tcPr>
            <w:tcW w:w="1283" w:type="dxa"/>
            <w:vMerge w:val="restart"/>
            <w:tcBorders>
              <w:top w:val="nil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5FD43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QFT-GIT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141B281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6069DD6C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8605AEA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038CA551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45AED3E4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F03A5E5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2A003AC1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74</w:t>
            </w:r>
          </w:p>
        </w:tc>
      </w:tr>
      <w:tr w:rsidR="00724A0F" w:rsidRPr="00DF35F2" w14:paraId="3AAE0FFC" w14:textId="77777777" w:rsidTr="0055433A">
        <w:trPr>
          <w:trHeight w:val="290"/>
        </w:trPr>
        <w:tc>
          <w:tcPr>
            <w:tcW w:w="128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35A0E54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00E47AE5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84B5684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D42F00D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6C000FD1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96BB0BF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36877EA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29CD0E65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304</w:t>
            </w:r>
          </w:p>
        </w:tc>
      </w:tr>
      <w:tr w:rsidR="00724A0F" w:rsidRPr="00DF35F2" w14:paraId="66CAB8BB" w14:textId="77777777" w:rsidTr="0055433A">
        <w:trPr>
          <w:trHeight w:val="290"/>
        </w:trPr>
        <w:tc>
          <w:tcPr>
            <w:tcW w:w="128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42A8017A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424D715F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Indeterminate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3003315D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05898D30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08FA1A18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DC7D246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5DAB32C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6218A6FA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47</w:t>
            </w:r>
          </w:p>
        </w:tc>
      </w:tr>
      <w:tr w:rsidR="00724A0F" w:rsidRPr="00DF35F2" w14:paraId="4B558487" w14:textId="77777777" w:rsidTr="0055433A">
        <w:trPr>
          <w:trHeight w:val="290"/>
        </w:trPr>
        <w:tc>
          <w:tcPr>
            <w:tcW w:w="128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A1DDE11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36DCD684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916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511E6377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15DA9A15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5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7E55E6E6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40880C80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3E546996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FFFFFF" w:themeFill="background1"/>
            <w:noWrap/>
            <w:vAlign w:val="center"/>
            <w:hideMark/>
          </w:tcPr>
          <w:p w14:paraId="47636639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</w:tr>
      <w:tr w:rsidR="00724A0F" w:rsidRPr="00DF35F2" w14:paraId="5886B59D" w14:textId="77777777" w:rsidTr="0055433A">
        <w:trPr>
          <w:trHeight w:val="290"/>
        </w:trPr>
        <w:tc>
          <w:tcPr>
            <w:tcW w:w="128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2ACA177F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F41E8F" w14:textId="77777777" w:rsidR="00724A0F" w:rsidRPr="00647A63" w:rsidRDefault="00724A0F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916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450900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010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770F8D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1157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9C8A29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503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6D1D22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897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03A42C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75" w:type="dxa"/>
            <w:tcBorders>
              <w:top w:val="nil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BE31BB" w14:textId="77777777" w:rsidR="00724A0F" w:rsidRPr="00647A63" w:rsidRDefault="00724A0F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64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439</w:t>
            </w:r>
          </w:p>
        </w:tc>
      </w:tr>
    </w:tbl>
    <w:p w14:paraId="42F22A57" w14:textId="77777777" w:rsidR="00724A0F" w:rsidRPr="00647A63" w:rsidRDefault="00724A0F" w:rsidP="00724A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47A63">
        <w:rPr>
          <w:rFonts w:ascii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hAnsi="Times New Roman" w:cs="Times New Roman"/>
          <w:sz w:val="20"/>
          <w:szCs w:val="20"/>
        </w:rPr>
        <w:t>patients</w:t>
      </w:r>
      <w:r w:rsidRPr="00647A63">
        <w:rPr>
          <w:rFonts w:ascii="Times New Roman" w:hAnsi="Times New Roman" w:cs="Times New Roman"/>
          <w:sz w:val="20"/>
          <w:szCs w:val="20"/>
        </w:rPr>
        <w:t xml:space="preserve"> with a definitive final diagnosis (categories 1, 2 and 4), there was 73% concordance in QFT-GIT and T-SPOT.TB positivity, and 77% concordance in negativity. </w:t>
      </w:r>
    </w:p>
    <w:p w14:paraId="5F4F316E" w14:textId="77777777" w:rsidR="00724A0F" w:rsidRDefault="00724A0F" w:rsidP="00724A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7C284364" w14:textId="77777777" w:rsidR="00724A0F" w:rsidRDefault="00724A0F" w:rsidP="00724A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2FAE4BE4" w14:textId="77777777" w:rsidR="00724A0F" w:rsidRDefault="00724A0F" w:rsidP="00724A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4CA22758" w14:textId="77777777" w:rsidR="00724A0F" w:rsidRDefault="00724A0F" w:rsidP="00724A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03CC39AF" w14:textId="77777777" w:rsidR="00724A0F" w:rsidRDefault="00724A0F" w:rsidP="00724A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4CCD9277" w14:textId="77777777" w:rsidR="00724A0F" w:rsidRDefault="00724A0F" w:rsidP="00724A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0578B94C" w14:textId="77777777" w:rsidR="00724A0F" w:rsidRDefault="00724A0F" w:rsidP="00724A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036958D4" w14:textId="77777777" w:rsidR="00724A0F" w:rsidRDefault="00724A0F" w:rsidP="00724A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7B8163AD" w14:textId="77777777" w:rsidR="00724A0F" w:rsidRDefault="00724A0F" w:rsidP="00724A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2DD9D990" w14:textId="77777777" w:rsidR="00724A0F" w:rsidRDefault="00724A0F" w:rsidP="00724A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197C2A94" w14:textId="77777777" w:rsidR="00724A0F" w:rsidRDefault="00724A0F" w:rsidP="00724A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4B7A2B42" w14:textId="77777777" w:rsidR="00724A0F" w:rsidRDefault="00724A0F" w:rsidP="00724A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28DA655C" w14:textId="77777777" w:rsidR="00724A0F" w:rsidRDefault="00724A0F" w:rsidP="00724A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5D6F40DA" w14:textId="77777777" w:rsidR="00724A0F" w:rsidRPr="00647A63" w:rsidRDefault="00724A0F" w:rsidP="00724A0F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1017E183" w14:textId="77777777" w:rsidR="00724A0F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7F330ACB" w14:textId="0C0C2633" w:rsidR="00724A0F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49222B79" w14:textId="411EA06C" w:rsidR="0055433A" w:rsidRDefault="0055433A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4EFD2673" w14:textId="77777777" w:rsidR="0055433A" w:rsidRDefault="0055433A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64321464" w14:textId="77777777" w:rsidR="00724A0F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704529E6" w14:textId="77777777" w:rsidR="00724A0F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7E9F0FA4" w14:textId="77777777" w:rsidR="0055433A" w:rsidRDefault="0055433A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2842C135" w14:textId="6060164F" w:rsidR="0055433A" w:rsidRDefault="0055433A" w:rsidP="005543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88639F">
        <w:rPr>
          <w:rFonts w:ascii="Times New Roman" w:hAnsi="Times New Roman" w:cs="Times New Roman"/>
          <w:b/>
          <w:bCs/>
          <w:sz w:val="20"/>
          <w:szCs w:val="24"/>
        </w:rPr>
        <w:lastRenderedPageBreak/>
        <w:t>Supplementary table 4: Cross-tabulation of T-S</w:t>
      </w:r>
      <w:r>
        <w:rPr>
          <w:rFonts w:ascii="Times New Roman" w:hAnsi="Times New Roman" w:cs="Times New Roman"/>
          <w:b/>
          <w:bCs/>
          <w:sz w:val="20"/>
          <w:szCs w:val="24"/>
        </w:rPr>
        <w:t>POT.TB</w:t>
      </w:r>
      <w:r w:rsidRPr="0088639F">
        <w:rPr>
          <w:rFonts w:ascii="Times New Roman" w:hAnsi="Times New Roman" w:cs="Times New Roman"/>
          <w:b/>
          <w:bCs/>
          <w:sz w:val="20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BF48D7">
        <w:rPr>
          <w:rFonts w:ascii="Times New Roman" w:hAnsi="Times New Roman" w:cs="Times New Roman"/>
          <w:b/>
          <w:bCs/>
          <w:sz w:val="20"/>
          <w:szCs w:val="24"/>
        </w:rPr>
        <w:t>second-generation</w:t>
      </w:r>
      <w:r w:rsidRPr="0088639F">
        <w:rPr>
          <w:rFonts w:ascii="Times New Roman" w:hAnsi="Times New Roman" w:cs="Times New Roman"/>
          <w:b/>
          <w:bCs/>
          <w:sz w:val="20"/>
          <w:szCs w:val="24"/>
        </w:rPr>
        <w:t xml:space="preserve"> IGRA results for patients with active TB (active TB positive) and non-TB diagnoses (active TB-negative)</w:t>
      </w:r>
    </w:p>
    <w:tbl>
      <w:tblPr>
        <w:tblW w:w="8976" w:type="dxa"/>
        <w:tblInd w:w="-5" w:type="dxa"/>
        <w:tblLook w:val="04A0" w:firstRow="1" w:lastRow="0" w:firstColumn="1" w:lastColumn="0" w:noHBand="0" w:noVBand="1"/>
      </w:tblPr>
      <w:tblGrid>
        <w:gridCol w:w="1283"/>
        <w:gridCol w:w="1503"/>
        <w:gridCol w:w="948"/>
        <w:gridCol w:w="1010"/>
        <w:gridCol w:w="1157"/>
        <w:gridCol w:w="1503"/>
        <w:gridCol w:w="897"/>
        <w:gridCol w:w="675"/>
      </w:tblGrid>
      <w:tr w:rsidR="0055433A" w:rsidRPr="0088639F" w14:paraId="4F6472F1" w14:textId="77777777" w:rsidTr="002A51E0">
        <w:trPr>
          <w:trHeight w:val="290"/>
        </w:trPr>
        <w:tc>
          <w:tcPr>
            <w:tcW w:w="278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45D056" w14:textId="77777777" w:rsidR="0055433A" w:rsidRPr="0088639F" w:rsidRDefault="0055433A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ACTIVE TB POSITVE</w:t>
            </w:r>
          </w:p>
        </w:tc>
        <w:tc>
          <w:tcPr>
            <w:tcW w:w="619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F565E18" w14:textId="6144BCC6" w:rsidR="0055433A" w:rsidRPr="0088639F" w:rsidRDefault="00BF48D7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Second-generation</w:t>
            </w:r>
            <w:r w:rsidR="0055433A"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="00554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IGRA</w:t>
            </w:r>
          </w:p>
        </w:tc>
      </w:tr>
      <w:tr w:rsidR="0055433A" w:rsidRPr="0088639F" w14:paraId="32D49B37" w14:textId="77777777" w:rsidTr="002A51E0">
        <w:trPr>
          <w:trHeight w:val="290"/>
        </w:trPr>
        <w:tc>
          <w:tcPr>
            <w:tcW w:w="1283" w:type="dxa"/>
            <w:shd w:val="clear" w:color="auto" w:fill="FFFFFF" w:themeFill="background1"/>
            <w:noWrap/>
            <w:vAlign w:val="center"/>
            <w:hideMark/>
          </w:tcPr>
          <w:p w14:paraId="5B9A788B" w14:textId="77777777" w:rsidR="0055433A" w:rsidRPr="0088639F" w:rsidRDefault="0055433A" w:rsidP="00554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500F430A" w14:textId="77777777" w:rsidR="0055433A" w:rsidRPr="0088639F" w:rsidRDefault="0055433A" w:rsidP="0055433A">
            <w:pPr>
              <w:spacing w:after="0" w:line="276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FFFFFF" w:themeFill="background1"/>
            <w:noWrap/>
            <w:vAlign w:val="center"/>
            <w:hideMark/>
          </w:tcPr>
          <w:p w14:paraId="748BA89A" w14:textId="250ADD3C" w:rsidR="0055433A" w:rsidRPr="001A0503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en-GB"/>
              </w:rPr>
            </w:pPr>
            <w:proofErr w:type="spellStart"/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Positive</w:t>
            </w:r>
            <w:r w:rsidR="00601295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en-GB"/>
              </w:rPr>
              <w:t>a</w:t>
            </w:r>
            <w:proofErr w:type="spellEnd"/>
          </w:p>
        </w:tc>
        <w:tc>
          <w:tcPr>
            <w:tcW w:w="1010" w:type="dxa"/>
            <w:shd w:val="clear" w:color="auto" w:fill="FFFFFF" w:themeFill="background1"/>
            <w:noWrap/>
            <w:vAlign w:val="center"/>
            <w:hideMark/>
          </w:tcPr>
          <w:p w14:paraId="2CD01136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157" w:type="dxa"/>
            <w:shd w:val="clear" w:color="auto" w:fill="FFFFFF" w:themeFill="background1"/>
            <w:noWrap/>
            <w:vAlign w:val="center"/>
            <w:hideMark/>
          </w:tcPr>
          <w:p w14:paraId="4531026F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Borderline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0437308C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Indeterminate</w:t>
            </w:r>
          </w:p>
        </w:tc>
        <w:tc>
          <w:tcPr>
            <w:tcW w:w="897" w:type="dxa"/>
            <w:shd w:val="clear" w:color="auto" w:fill="FFFFFF" w:themeFill="background1"/>
            <w:noWrap/>
            <w:vAlign w:val="center"/>
            <w:hideMark/>
          </w:tcPr>
          <w:p w14:paraId="544E24A1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  <w:hideMark/>
          </w:tcPr>
          <w:p w14:paraId="54E0100D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Total</w:t>
            </w:r>
          </w:p>
        </w:tc>
      </w:tr>
      <w:tr w:rsidR="0055433A" w:rsidRPr="0088639F" w14:paraId="7440BDCC" w14:textId="77777777" w:rsidTr="002A51E0">
        <w:trPr>
          <w:trHeight w:val="290"/>
        </w:trPr>
        <w:tc>
          <w:tcPr>
            <w:tcW w:w="128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1535450" w14:textId="77777777" w:rsidR="0055433A" w:rsidRPr="0088639F" w:rsidRDefault="0055433A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T-S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POT.TB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14D657E8" w14:textId="77777777" w:rsidR="0055433A" w:rsidRPr="0088639F" w:rsidRDefault="0055433A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948" w:type="dxa"/>
            <w:shd w:val="clear" w:color="auto" w:fill="FFFFFF" w:themeFill="background1"/>
            <w:noWrap/>
            <w:vAlign w:val="center"/>
            <w:hideMark/>
          </w:tcPr>
          <w:p w14:paraId="7DF726C2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010" w:type="dxa"/>
            <w:shd w:val="clear" w:color="auto" w:fill="FFFFFF" w:themeFill="background1"/>
            <w:noWrap/>
            <w:vAlign w:val="center"/>
            <w:hideMark/>
          </w:tcPr>
          <w:p w14:paraId="0D96EB9F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7" w:type="dxa"/>
            <w:shd w:val="clear" w:color="auto" w:fill="FFFFFF" w:themeFill="background1"/>
            <w:noWrap/>
            <w:vAlign w:val="center"/>
            <w:hideMark/>
          </w:tcPr>
          <w:p w14:paraId="71D9F213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5128AF66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  <w:noWrap/>
            <w:vAlign w:val="center"/>
            <w:hideMark/>
          </w:tcPr>
          <w:p w14:paraId="20DDB67F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  <w:hideMark/>
          </w:tcPr>
          <w:p w14:paraId="74AEE2D3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253</w:t>
            </w:r>
          </w:p>
        </w:tc>
      </w:tr>
      <w:tr w:rsidR="0055433A" w:rsidRPr="0088639F" w14:paraId="554FA9DD" w14:textId="77777777" w:rsidTr="002A51E0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BE32C4" w14:textId="77777777" w:rsidR="0055433A" w:rsidRPr="0088639F" w:rsidRDefault="0055433A" w:rsidP="005543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05AE8C8E" w14:textId="77777777" w:rsidR="0055433A" w:rsidRPr="0088639F" w:rsidRDefault="0055433A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948" w:type="dxa"/>
            <w:shd w:val="clear" w:color="auto" w:fill="FFFFFF" w:themeFill="background1"/>
            <w:noWrap/>
            <w:vAlign w:val="center"/>
            <w:hideMark/>
          </w:tcPr>
          <w:p w14:paraId="1452E719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010" w:type="dxa"/>
            <w:shd w:val="clear" w:color="auto" w:fill="FFFFFF" w:themeFill="background1"/>
            <w:noWrap/>
            <w:vAlign w:val="center"/>
            <w:hideMark/>
          </w:tcPr>
          <w:p w14:paraId="4B7876CF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57" w:type="dxa"/>
            <w:shd w:val="clear" w:color="auto" w:fill="FFFFFF" w:themeFill="background1"/>
            <w:noWrap/>
            <w:vAlign w:val="center"/>
            <w:hideMark/>
          </w:tcPr>
          <w:p w14:paraId="6772BD09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37CAFA4E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  <w:noWrap/>
            <w:vAlign w:val="center"/>
            <w:hideMark/>
          </w:tcPr>
          <w:p w14:paraId="00F15BBB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  <w:hideMark/>
          </w:tcPr>
          <w:p w14:paraId="4658BCCC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58</w:t>
            </w:r>
          </w:p>
        </w:tc>
      </w:tr>
      <w:tr w:rsidR="0055433A" w:rsidRPr="0088639F" w14:paraId="54391C54" w14:textId="77777777" w:rsidTr="002A51E0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345AB9" w14:textId="77777777" w:rsidR="0055433A" w:rsidRPr="0088639F" w:rsidRDefault="0055433A" w:rsidP="005543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2F896A70" w14:textId="77777777" w:rsidR="0055433A" w:rsidRPr="0088639F" w:rsidRDefault="0055433A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Borderline</w:t>
            </w:r>
          </w:p>
        </w:tc>
        <w:tc>
          <w:tcPr>
            <w:tcW w:w="948" w:type="dxa"/>
            <w:shd w:val="clear" w:color="auto" w:fill="FFFFFF" w:themeFill="background1"/>
            <w:noWrap/>
            <w:vAlign w:val="center"/>
            <w:hideMark/>
          </w:tcPr>
          <w:p w14:paraId="45C50EA6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0" w:type="dxa"/>
            <w:shd w:val="clear" w:color="auto" w:fill="FFFFFF" w:themeFill="background1"/>
            <w:noWrap/>
            <w:vAlign w:val="center"/>
            <w:hideMark/>
          </w:tcPr>
          <w:p w14:paraId="33CFC67B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7" w:type="dxa"/>
            <w:shd w:val="clear" w:color="auto" w:fill="FFFFFF" w:themeFill="background1"/>
            <w:noWrap/>
            <w:vAlign w:val="center"/>
            <w:hideMark/>
          </w:tcPr>
          <w:p w14:paraId="44FE1DCC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63C9EF07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  <w:noWrap/>
            <w:vAlign w:val="center"/>
            <w:hideMark/>
          </w:tcPr>
          <w:p w14:paraId="54E3CA2A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  <w:hideMark/>
          </w:tcPr>
          <w:p w14:paraId="41CF994E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</w:t>
            </w:r>
          </w:p>
        </w:tc>
      </w:tr>
      <w:tr w:rsidR="0055433A" w:rsidRPr="0088639F" w14:paraId="2A34C31A" w14:textId="77777777" w:rsidTr="002A51E0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0097EF" w14:textId="77777777" w:rsidR="0055433A" w:rsidRPr="0088639F" w:rsidRDefault="0055433A" w:rsidP="005543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67D1885C" w14:textId="77777777" w:rsidR="0055433A" w:rsidRPr="0088639F" w:rsidRDefault="0055433A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Indeterminate</w:t>
            </w:r>
          </w:p>
        </w:tc>
        <w:tc>
          <w:tcPr>
            <w:tcW w:w="948" w:type="dxa"/>
            <w:shd w:val="clear" w:color="auto" w:fill="FFFFFF" w:themeFill="background1"/>
            <w:noWrap/>
            <w:vAlign w:val="center"/>
            <w:hideMark/>
          </w:tcPr>
          <w:p w14:paraId="6C6917C6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10" w:type="dxa"/>
            <w:shd w:val="clear" w:color="auto" w:fill="FFFFFF" w:themeFill="background1"/>
            <w:noWrap/>
            <w:vAlign w:val="center"/>
            <w:hideMark/>
          </w:tcPr>
          <w:p w14:paraId="16C1E56B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7" w:type="dxa"/>
            <w:shd w:val="clear" w:color="auto" w:fill="FFFFFF" w:themeFill="background1"/>
            <w:noWrap/>
            <w:vAlign w:val="center"/>
            <w:hideMark/>
          </w:tcPr>
          <w:p w14:paraId="278AEF4C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180AFDA5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97" w:type="dxa"/>
            <w:shd w:val="clear" w:color="auto" w:fill="FFFFFF" w:themeFill="background1"/>
            <w:noWrap/>
            <w:vAlign w:val="center"/>
            <w:hideMark/>
          </w:tcPr>
          <w:p w14:paraId="78B15DE8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  <w:hideMark/>
          </w:tcPr>
          <w:p w14:paraId="476C8B9C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</w:t>
            </w:r>
          </w:p>
        </w:tc>
      </w:tr>
      <w:tr w:rsidR="0055433A" w:rsidRPr="0088639F" w14:paraId="0397C97B" w14:textId="77777777" w:rsidTr="002A51E0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2D97B5" w14:textId="77777777" w:rsidR="0055433A" w:rsidRPr="0088639F" w:rsidRDefault="0055433A" w:rsidP="005543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0121DDBD" w14:textId="77777777" w:rsidR="0055433A" w:rsidRPr="0088639F" w:rsidRDefault="0055433A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948" w:type="dxa"/>
            <w:shd w:val="clear" w:color="auto" w:fill="FFFFFF" w:themeFill="background1"/>
            <w:noWrap/>
            <w:vAlign w:val="center"/>
            <w:hideMark/>
          </w:tcPr>
          <w:p w14:paraId="0B444D1E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10" w:type="dxa"/>
            <w:shd w:val="clear" w:color="auto" w:fill="FFFFFF" w:themeFill="background1"/>
            <w:noWrap/>
            <w:vAlign w:val="center"/>
            <w:hideMark/>
          </w:tcPr>
          <w:p w14:paraId="564F26E1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7" w:type="dxa"/>
            <w:shd w:val="clear" w:color="auto" w:fill="FFFFFF" w:themeFill="background1"/>
            <w:noWrap/>
            <w:vAlign w:val="center"/>
            <w:hideMark/>
          </w:tcPr>
          <w:p w14:paraId="359366CF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72DBE5EB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  <w:noWrap/>
            <w:vAlign w:val="center"/>
            <w:hideMark/>
          </w:tcPr>
          <w:p w14:paraId="79105696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  <w:hideMark/>
          </w:tcPr>
          <w:p w14:paraId="02D6C031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</w:t>
            </w:r>
          </w:p>
        </w:tc>
      </w:tr>
      <w:tr w:rsidR="0055433A" w:rsidRPr="0088639F" w14:paraId="0E72F7DF" w14:textId="77777777" w:rsidTr="002A51E0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193791" w14:textId="77777777" w:rsidR="0055433A" w:rsidRPr="0088639F" w:rsidRDefault="0055433A" w:rsidP="005543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75BC3C" w14:textId="77777777" w:rsidR="0055433A" w:rsidRPr="0088639F" w:rsidRDefault="0055433A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C3438F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8037EDE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26F425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671260E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CDAF2C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C5D46C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363</w:t>
            </w:r>
          </w:p>
        </w:tc>
      </w:tr>
      <w:tr w:rsidR="0055433A" w:rsidRPr="0088639F" w14:paraId="05EFABBE" w14:textId="77777777" w:rsidTr="002A51E0">
        <w:trPr>
          <w:trHeight w:val="290"/>
        </w:trPr>
        <w:tc>
          <w:tcPr>
            <w:tcW w:w="2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B9BE82C" w14:textId="77777777" w:rsidR="0055433A" w:rsidRPr="0088639F" w:rsidRDefault="0055433A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ACTIVE TB NEGATIVE</w:t>
            </w:r>
          </w:p>
        </w:tc>
        <w:tc>
          <w:tcPr>
            <w:tcW w:w="61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726C8BC" w14:textId="2CD61074" w:rsidR="0055433A" w:rsidRPr="0088639F" w:rsidRDefault="00BF48D7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Second-generation</w:t>
            </w:r>
            <w:r w:rsidR="005543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IGRA</w:t>
            </w:r>
          </w:p>
        </w:tc>
      </w:tr>
      <w:tr w:rsidR="0055433A" w:rsidRPr="0088639F" w14:paraId="4F764BCB" w14:textId="77777777" w:rsidTr="002A51E0">
        <w:trPr>
          <w:trHeight w:val="290"/>
        </w:trPr>
        <w:tc>
          <w:tcPr>
            <w:tcW w:w="1283" w:type="dxa"/>
            <w:shd w:val="clear" w:color="auto" w:fill="FFFFFF" w:themeFill="background1"/>
            <w:noWrap/>
            <w:vAlign w:val="center"/>
            <w:hideMark/>
          </w:tcPr>
          <w:p w14:paraId="569C4A86" w14:textId="77777777" w:rsidR="0055433A" w:rsidRPr="0088639F" w:rsidRDefault="0055433A" w:rsidP="0055433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44E3E0DA" w14:textId="77777777" w:rsidR="0055433A" w:rsidRPr="0088639F" w:rsidRDefault="0055433A" w:rsidP="0055433A">
            <w:pPr>
              <w:spacing w:after="0" w:line="276" w:lineRule="auto"/>
              <w:rPr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FFFFFF" w:themeFill="background1"/>
            <w:noWrap/>
            <w:vAlign w:val="center"/>
            <w:hideMark/>
          </w:tcPr>
          <w:p w14:paraId="7535F3CB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1010" w:type="dxa"/>
            <w:shd w:val="clear" w:color="auto" w:fill="FFFFFF" w:themeFill="background1"/>
            <w:noWrap/>
            <w:vAlign w:val="center"/>
            <w:hideMark/>
          </w:tcPr>
          <w:p w14:paraId="31D6A277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157" w:type="dxa"/>
            <w:shd w:val="clear" w:color="auto" w:fill="FFFFFF" w:themeFill="background1"/>
            <w:noWrap/>
            <w:vAlign w:val="center"/>
            <w:hideMark/>
          </w:tcPr>
          <w:p w14:paraId="1223827B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Borderline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77515497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Indeterminate</w:t>
            </w:r>
          </w:p>
        </w:tc>
        <w:tc>
          <w:tcPr>
            <w:tcW w:w="897" w:type="dxa"/>
            <w:shd w:val="clear" w:color="auto" w:fill="FFFFFF" w:themeFill="background1"/>
            <w:noWrap/>
            <w:vAlign w:val="center"/>
            <w:hideMark/>
          </w:tcPr>
          <w:p w14:paraId="06270FA2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  <w:hideMark/>
          </w:tcPr>
          <w:p w14:paraId="238F672F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Total</w:t>
            </w:r>
          </w:p>
        </w:tc>
      </w:tr>
      <w:tr w:rsidR="0055433A" w:rsidRPr="0088639F" w14:paraId="5B382F91" w14:textId="77777777" w:rsidTr="002A51E0">
        <w:trPr>
          <w:trHeight w:val="290"/>
        </w:trPr>
        <w:tc>
          <w:tcPr>
            <w:tcW w:w="1283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467CCC" w14:textId="77777777" w:rsidR="0055433A" w:rsidRPr="0088639F" w:rsidRDefault="0055433A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T-S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POT.TB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132E4D9E" w14:textId="77777777" w:rsidR="0055433A" w:rsidRPr="0088639F" w:rsidRDefault="0055433A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948" w:type="dxa"/>
            <w:shd w:val="clear" w:color="auto" w:fill="FFFFFF" w:themeFill="background1"/>
            <w:noWrap/>
            <w:vAlign w:val="center"/>
            <w:hideMark/>
          </w:tcPr>
          <w:p w14:paraId="72646004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010" w:type="dxa"/>
            <w:shd w:val="clear" w:color="auto" w:fill="FFFFFF" w:themeFill="background1"/>
            <w:noWrap/>
            <w:vAlign w:val="center"/>
            <w:hideMark/>
          </w:tcPr>
          <w:p w14:paraId="0FC46D72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7" w:type="dxa"/>
            <w:shd w:val="clear" w:color="auto" w:fill="FFFFFF" w:themeFill="background1"/>
            <w:noWrap/>
            <w:vAlign w:val="center"/>
            <w:hideMark/>
          </w:tcPr>
          <w:p w14:paraId="7DA768C8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1A6BAD9B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  <w:noWrap/>
            <w:vAlign w:val="center"/>
            <w:hideMark/>
          </w:tcPr>
          <w:p w14:paraId="2FEFCAFB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  <w:hideMark/>
          </w:tcPr>
          <w:p w14:paraId="1D4AD774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</w:t>
            </w:r>
          </w:p>
        </w:tc>
      </w:tr>
      <w:tr w:rsidR="0055433A" w:rsidRPr="0088639F" w14:paraId="5AB0B32B" w14:textId="77777777" w:rsidTr="002A51E0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585B0E2" w14:textId="77777777" w:rsidR="0055433A" w:rsidRPr="0088639F" w:rsidRDefault="0055433A" w:rsidP="005543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44DF9476" w14:textId="77777777" w:rsidR="0055433A" w:rsidRPr="0088639F" w:rsidRDefault="0055433A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948" w:type="dxa"/>
            <w:shd w:val="clear" w:color="auto" w:fill="FFFFFF" w:themeFill="background1"/>
            <w:noWrap/>
            <w:vAlign w:val="center"/>
            <w:hideMark/>
          </w:tcPr>
          <w:p w14:paraId="504F3BD9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010" w:type="dxa"/>
            <w:shd w:val="clear" w:color="auto" w:fill="FFFFFF" w:themeFill="background1"/>
            <w:noWrap/>
            <w:vAlign w:val="center"/>
            <w:hideMark/>
          </w:tcPr>
          <w:p w14:paraId="0AB7CA87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1157" w:type="dxa"/>
            <w:shd w:val="clear" w:color="auto" w:fill="FFFFFF" w:themeFill="background1"/>
            <w:noWrap/>
            <w:vAlign w:val="center"/>
            <w:hideMark/>
          </w:tcPr>
          <w:p w14:paraId="47E15696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2AC3A584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  <w:noWrap/>
            <w:vAlign w:val="center"/>
            <w:hideMark/>
          </w:tcPr>
          <w:p w14:paraId="2EB17772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  <w:hideMark/>
          </w:tcPr>
          <w:p w14:paraId="6940169F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319</w:t>
            </w:r>
          </w:p>
        </w:tc>
      </w:tr>
      <w:tr w:rsidR="0055433A" w:rsidRPr="0088639F" w14:paraId="5F1B465A" w14:textId="77777777" w:rsidTr="002A51E0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7D6578E" w14:textId="77777777" w:rsidR="0055433A" w:rsidRPr="0088639F" w:rsidRDefault="0055433A" w:rsidP="005543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04E9C1C0" w14:textId="77777777" w:rsidR="0055433A" w:rsidRPr="0088639F" w:rsidRDefault="0055433A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Borderline</w:t>
            </w:r>
          </w:p>
        </w:tc>
        <w:tc>
          <w:tcPr>
            <w:tcW w:w="948" w:type="dxa"/>
            <w:shd w:val="clear" w:color="auto" w:fill="FFFFFF" w:themeFill="background1"/>
            <w:noWrap/>
            <w:vAlign w:val="center"/>
            <w:hideMark/>
          </w:tcPr>
          <w:p w14:paraId="16BA8A17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0" w:type="dxa"/>
            <w:shd w:val="clear" w:color="auto" w:fill="FFFFFF" w:themeFill="background1"/>
            <w:noWrap/>
            <w:vAlign w:val="center"/>
            <w:hideMark/>
          </w:tcPr>
          <w:p w14:paraId="0D5055B2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7" w:type="dxa"/>
            <w:shd w:val="clear" w:color="auto" w:fill="FFFFFF" w:themeFill="background1"/>
            <w:noWrap/>
            <w:vAlign w:val="center"/>
            <w:hideMark/>
          </w:tcPr>
          <w:p w14:paraId="5DF45020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00B2B9E4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  <w:noWrap/>
            <w:vAlign w:val="center"/>
            <w:hideMark/>
          </w:tcPr>
          <w:p w14:paraId="63920045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  <w:hideMark/>
          </w:tcPr>
          <w:p w14:paraId="732149DB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</w:t>
            </w:r>
          </w:p>
        </w:tc>
      </w:tr>
      <w:tr w:rsidR="0055433A" w:rsidRPr="0088639F" w14:paraId="64948DC6" w14:textId="77777777" w:rsidTr="002A51E0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466C4D6" w14:textId="77777777" w:rsidR="0055433A" w:rsidRPr="0088639F" w:rsidRDefault="0055433A" w:rsidP="005543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659A0CEC" w14:textId="77777777" w:rsidR="0055433A" w:rsidRPr="0088639F" w:rsidRDefault="0055433A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Indeterminate</w:t>
            </w:r>
          </w:p>
        </w:tc>
        <w:tc>
          <w:tcPr>
            <w:tcW w:w="948" w:type="dxa"/>
            <w:shd w:val="clear" w:color="auto" w:fill="FFFFFF" w:themeFill="background1"/>
            <w:noWrap/>
            <w:vAlign w:val="center"/>
            <w:hideMark/>
          </w:tcPr>
          <w:p w14:paraId="61EEA900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10" w:type="dxa"/>
            <w:shd w:val="clear" w:color="auto" w:fill="FFFFFF" w:themeFill="background1"/>
            <w:noWrap/>
            <w:vAlign w:val="center"/>
            <w:hideMark/>
          </w:tcPr>
          <w:p w14:paraId="1BD65B17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7" w:type="dxa"/>
            <w:shd w:val="clear" w:color="auto" w:fill="FFFFFF" w:themeFill="background1"/>
            <w:noWrap/>
            <w:vAlign w:val="center"/>
            <w:hideMark/>
          </w:tcPr>
          <w:p w14:paraId="09713F06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588B8F76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897" w:type="dxa"/>
            <w:shd w:val="clear" w:color="auto" w:fill="FFFFFF" w:themeFill="background1"/>
            <w:noWrap/>
            <w:vAlign w:val="center"/>
            <w:hideMark/>
          </w:tcPr>
          <w:p w14:paraId="7D0B8A3D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  <w:hideMark/>
          </w:tcPr>
          <w:p w14:paraId="3EC34756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37</w:t>
            </w:r>
          </w:p>
        </w:tc>
      </w:tr>
      <w:tr w:rsidR="0055433A" w:rsidRPr="0088639F" w14:paraId="40461AA2" w14:textId="77777777" w:rsidTr="002A51E0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20FD579" w14:textId="77777777" w:rsidR="0055433A" w:rsidRPr="0088639F" w:rsidRDefault="0055433A" w:rsidP="005543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247D560E" w14:textId="77777777" w:rsidR="0055433A" w:rsidRPr="0088639F" w:rsidRDefault="0055433A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Missing</w:t>
            </w:r>
          </w:p>
        </w:tc>
        <w:tc>
          <w:tcPr>
            <w:tcW w:w="948" w:type="dxa"/>
            <w:shd w:val="clear" w:color="auto" w:fill="FFFFFF" w:themeFill="background1"/>
            <w:noWrap/>
            <w:vAlign w:val="center"/>
            <w:hideMark/>
          </w:tcPr>
          <w:p w14:paraId="775B1B6B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10" w:type="dxa"/>
            <w:shd w:val="clear" w:color="auto" w:fill="FFFFFF" w:themeFill="background1"/>
            <w:noWrap/>
            <w:vAlign w:val="center"/>
            <w:hideMark/>
          </w:tcPr>
          <w:p w14:paraId="7D37CAE2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57" w:type="dxa"/>
            <w:shd w:val="clear" w:color="auto" w:fill="FFFFFF" w:themeFill="background1"/>
            <w:noWrap/>
            <w:vAlign w:val="center"/>
            <w:hideMark/>
          </w:tcPr>
          <w:p w14:paraId="606F3969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14:paraId="25FA4DFC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shd w:val="clear" w:color="auto" w:fill="FFFFFF" w:themeFill="background1"/>
            <w:noWrap/>
            <w:vAlign w:val="center"/>
            <w:hideMark/>
          </w:tcPr>
          <w:p w14:paraId="0E8E720D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75" w:type="dxa"/>
            <w:shd w:val="clear" w:color="auto" w:fill="FFFFFF" w:themeFill="background1"/>
            <w:noWrap/>
            <w:vAlign w:val="center"/>
            <w:hideMark/>
          </w:tcPr>
          <w:p w14:paraId="09BA045D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</w:t>
            </w:r>
          </w:p>
        </w:tc>
      </w:tr>
      <w:tr w:rsidR="0055433A" w:rsidRPr="0088639F" w14:paraId="58EB80C9" w14:textId="77777777" w:rsidTr="002A51E0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C789131" w14:textId="77777777" w:rsidR="0055433A" w:rsidRPr="0088639F" w:rsidRDefault="0055433A" w:rsidP="0055433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866E490" w14:textId="77777777" w:rsidR="0055433A" w:rsidRPr="0088639F" w:rsidRDefault="0055433A" w:rsidP="00554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E5B2109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0F1D00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D874D2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0684BE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F1F2871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5F5276" w14:textId="77777777" w:rsidR="0055433A" w:rsidRPr="0088639F" w:rsidRDefault="0055433A" w:rsidP="00554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8639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439</w:t>
            </w:r>
          </w:p>
        </w:tc>
      </w:tr>
    </w:tbl>
    <w:p w14:paraId="5DB88C0A" w14:textId="1D402B79" w:rsidR="0055433A" w:rsidRPr="00A76BB4" w:rsidRDefault="00601295" w:rsidP="0055433A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55433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55433A">
        <w:rPr>
          <w:rFonts w:ascii="Times New Roman" w:hAnsi="Times New Roman" w:cs="Times New Roman"/>
          <w:sz w:val="20"/>
          <w:szCs w:val="20"/>
        </w:rPr>
        <w:t xml:space="preserve"> 20 additional TB cases detected by </w:t>
      </w:r>
      <w:r w:rsidR="00BF48D7">
        <w:rPr>
          <w:rFonts w:ascii="Times New Roman" w:hAnsi="Times New Roman" w:cs="Times New Roman"/>
          <w:sz w:val="20"/>
          <w:szCs w:val="20"/>
        </w:rPr>
        <w:t>second-generation</w:t>
      </w:r>
      <w:r w:rsidR="0055433A">
        <w:rPr>
          <w:rFonts w:ascii="Times New Roman" w:hAnsi="Times New Roman" w:cs="Times New Roman"/>
          <w:sz w:val="20"/>
          <w:szCs w:val="20"/>
        </w:rPr>
        <w:t xml:space="preserve"> IGRA (compared to T-SPOT.TB)</w:t>
      </w:r>
      <w:r w:rsidR="00031F86">
        <w:rPr>
          <w:rFonts w:ascii="Times New Roman" w:hAnsi="Times New Roman" w:cs="Times New Roman"/>
          <w:sz w:val="20"/>
          <w:szCs w:val="20"/>
        </w:rPr>
        <w:t>,</w:t>
      </w:r>
      <w:r w:rsidR="0055433A">
        <w:rPr>
          <w:rFonts w:ascii="Times New Roman" w:hAnsi="Times New Roman" w:cs="Times New Roman"/>
          <w:sz w:val="20"/>
          <w:szCs w:val="20"/>
        </w:rPr>
        <w:t xml:space="preserve"> only three responses to ESAT-6 and one to CFP-10 were borderline. </w:t>
      </w:r>
    </w:p>
    <w:p w14:paraId="363148DF" w14:textId="7547970F" w:rsidR="00724A0F" w:rsidRPr="00C01AF7" w:rsidRDefault="002617AB" w:rsidP="002617AB">
      <w:pPr>
        <w:tabs>
          <w:tab w:val="left" w:pos="238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BC57026" w14:textId="77777777" w:rsidR="00724A0F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C332E" w14:textId="77777777" w:rsidR="00724A0F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4293A" w14:textId="77777777" w:rsidR="00724A0F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DE74C8" w14:textId="6A44582B" w:rsidR="00724A0F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753B8" w14:textId="5D539B79" w:rsidR="00804E69" w:rsidRDefault="00804E6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064CB" w14:textId="37A7B8E8" w:rsidR="00804E69" w:rsidRDefault="00804E6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D6B2E" w14:textId="58B5A7D0" w:rsidR="00804E69" w:rsidRDefault="00804E6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3CA2D" w14:textId="62A0049A" w:rsidR="00804E69" w:rsidRDefault="00804E6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D6322" w14:textId="5B30EB5D" w:rsidR="00804E69" w:rsidRDefault="00804E6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22AB8" w14:textId="79EDD02C" w:rsidR="00804E69" w:rsidRDefault="00804E6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82797" w14:textId="57F38C38" w:rsidR="00804E69" w:rsidRDefault="00804E6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571B4F" w14:textId="69BF6CCE" w:rsidR="00804E69" w:rsidRDefault="00804E6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E0322" w14:textId="678B298F" w:rsidR="00804E69" w:rsidRDefault="00804E6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636AD" w14:textId="2F2C81FC" w:rsidR="00804E69" w:rsidRDefault="00804E6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3730B" w14:textId="22E14650" w:rsidR="00804E69" w:rsidRDefault="00804E6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33252" w14:textId="0DBE43AB" w:rsidR="00804E69" w:rsidRDefault="00804E6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69C5C" w14:textId="651959D3" w:rsidR="00804E69" w:rsidRDefault="00804E6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7DCC8" w14:textId="04FB0C59" w:rsidR="00804E69" w:rsidRDefault="00804E6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5758B" w14:textId="084B2CB7" w:rsidR="00804E69" w:rsidRDefault="00804E6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2B57C" w14:textId="77777777" w:rsidR="00804E69" w:rsidRDefault="00804E6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  <w:sectPr w:rsidR="00804E69" w:rsidSect="00244D7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ECD8448" w14:textId="7870D111" w:rsidR="004A4779" w:rsidRDefault="004A4779" w:rsidP="004A47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39F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 w:val="20"/>
          <w:szCs w:val="24"/>
        </w:rPr>
        <w:t>5</w:t>
      </w:r>
      <w:r w:rsidRPr="0088639F">
        <w:rPr>
          <w:rFonts w:ascii="Times New Roman" w:hAnsi="Times New Roman" w:cs="Times New Roman"/>
          <w:b/>
          <w:bCs/>
          <w:sz w:val="20"/>
          <w:szCs w:val="24"/>
        </w:rPr>
        <w:t>: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Response magnitudes to individual antigens included in T</w:t>
      </w:r>
      <w:r w:rsidR="00BF48D7">
        <w:rPr>
          <w:rFonts w:ascii="Times New Roman" w:hAnsi="Times New Roman" w:cs="Times New Roman"/>
          <w:b/>
          <w:bCs/>
          <w:sz w:val="20"/>
          <w:szCs w:val="24"/>
        </w:rPr>
        <w:t>-</w:t>
      </w:r>
      <w:r>
        <w:rPr>
          <w:rFonts w:ascii="Times New Roman" w:hAnsi="Times New Roman" w:cs="Times New Roman"/>
          <w:b/>
          <w:bCs/>
          <w:sz w:val="20"/>
          <w:szCs w:val="24"/>
        </w:rPr>
        <w:t>SPOT</w:t>
      </w:r>
      <w:r w:rsidR="00BF48D7">
        <w:rPr>
          <w:rFonts w:ascii="Times New Roman" w:hAnsi="Times New Roman" w:cs="Times New Roman"/>
          <w:b/>
          <w:bCs/>
          <w:sz w:val="20"/>
          <w:szCs w:val="24"/>
        </w:rPr>
        <w:t>.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TB and </w:t>
      </w:r>
      <w:r w:rsidR="00BF48D7">
        <w:rPr>
          <w:rFonts w:ascii="Times New Roman" w:hAnsi="Times New Roman" w:cs="Times New Roman"/>
          <w:b/>
          <w:bCs/>
          <w:sz w:val="20"/>
          <w:szCs w:val="24"/>
        </w:rPr>
        <w:t>second-generation</w:t>
      </w:r>
      <w:r>
        <w:rPr>
          <w:rFonts w:ascii="Times New Roman" w:hAnsi="Times New Roman" w:cs="Times New Roman"/>
          <w:b/>
          <w:bCs/>
          <w:sz w:val="20"/>
          <w:szCs w:val="24"/>
        </w:rPr>
        <w:t xml:space="preserve"> IGRA</w:t>
      </w:r>
    </w:p>
    <w:tbl>
      <w:tblPr>
        <w:tblStyle w:val="TableGrid"/>
        <w:tblW w:w="12342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96"/>
        <w:gridCol w:w="1342"/>
        <w:gridCol w:w="1128"/>
        <w:gridCol w:w="1021"/>
        <w:gridCol w:w="915"/>
        <w:gridCol w:w="1074"/>
        <w:gridCol w:w="915"/>
        <w:gridCol w:w="915"/>
        <w:gridCol w:w="915"/>
        <w:gridCol w:w="1021"/>
      </w:tblGrid>
      <w:tr w:rsidR="00DA0013" w:rsidRPr="00EB23E9" w14:paraId="0CD13178" w14:textId="77777777" w:rsidTr="00AF0873">
        <w:trPr>
          <w:tblHeader/>
        </w:trPr>
        <w:tc>
          <w:tcPr>
            <w:tcW w:w="309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5D58C22E" w14:textId="77777777" w:rsidR="004A4779" w:rsidRPr="00EB23E9" w:rsidRDefault="004A4779" w:rsidP="006834ED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225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14:paraId="311E3AA6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B23E9">
              <w:rPr>
                <w:rFonts w:cs="Times New Roman"/>
                <w:b/>
                <w:sz w:val="20"/>
                <w:szCs w:val="20"/>
              </w:rPr>
              <w:t>Dosanjh category</w:t>
            </w: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14:paraId="6FBCC745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B23E9">
              <w:rPr>
                <w:rFonts w:cs="Times New Roman"/>
                <w:b/>
                <w:sz w:val="20"/>
                <w:szCs w:val="20"/>
              </w:rPr>
              <w:t>Total</w:t>
            </w:r>
          </w:p>
        </w:tc>
      </w:tr>
      <w:tr w:rsidR="004A4779" w:rsidRPr="00EB23E9" w14:paraId="4D772D2A" w14:textId="77777777" w:rsidTr="00AF0873">
        <w:trPr>
          <w:tblHeader/>
        </w:trPr>
        <w:tc>
          <w:tcPr>
            <w:tcW w:w="30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C82441A" w14:textId="77777777" w:rsidR="004A4779" w:rsidRPr="00EB23E9" w:rsidRDefault="004A4779" w:rsidP="006834ED">
            <w:pPr>
              <w:spacing w:line="360" w:lineRule="auto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7BA304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B23E9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E2996D0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B23E9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8B728B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B23E9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B61530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B23E9">
              <w:rPr>
                <w:rFonts w:cs="Times New Roman"/>
                <w:b/>
                <w:sz w:val="20"/>
                <w:szCs w:val="20"/>
              </w:rPr>
              <w:t>4A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57B25A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B23E9">
              <w:rPr>
                <w:rFonts w:cs="Times New Roman"/>
                <w:b/>
                <w:sz w:val="20"/>
                <w:szCs w:val="20"/>
              </w:rPr>
              <w:t>4B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61C6FD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B23E9">
              <w:rPr>
                <w:rFonts w:cs="Times New Roman"/>
                <w:b/>
                <w:sz w:val="20"/>
                <w:szCs w:val="20"/>
              </w:rPr>
              <w:t>4C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1BBCC4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B23E9">
              <w:rPr>
                <w:rFonts w:cs="Times New Roman"/>
                <w:b/>
                <w:sz w:val="20"/>
                <w:szCs w:val="20"/>
              </w:rPr>
              <w:t>4D</w:t>
            </w: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257FCC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B23E9">
              <w:rPr>
                <w:rFonts w:cs="Times New Roman"/>
                <w:b/>
                <w:sz w:val="20"/>
                <w:szCs w:val="20"/>
              </w:rPr>
              <w:t>4A-D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1DA491B9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4A4779" w:rsidRPr="00EB23E9" w14:paraId="5E7755E9" w14:textId="77777777" w:rsidTr="00AF0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C7E9E" w14:textId="4ACD98A5" w:rsidR="004A4779" w:rsidRDefault="004A4779" w:rsidP="006834ED">
            <w:pPr>
              <w:spacing w:line="360" w:lineRule="auto"/>
              <w:ind w:left="1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Spot-forming cells, median (</w:t>
            </w:r>
            <w:r w:rsidR="00DF7838">
              <w:rPr>
                <w:rFonts w:cs="Times New Roman"/>
                <w:sz w:val="20"/>
                <w:szCs w:val="20"/>
              </w:rPr>
              <w:t>IQR</w:t>
            </w:r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275DA" w14:textId="77777777" w:rsidR="004A4779" w:rsidRPr="00804E6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FE8D1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34B60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8F9D94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D32C5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B1A103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7AA3B7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78316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CDA81" w14:textId="77777777" w:rsidR="004A4779" w:rsidRPr="00804E6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4A4779" w:rsidRPr="00EB23E9" w14:paraId="45642BAE" w14:textId="77777777" w:rsidTr="00AF0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2327BDB0" w14:textId="77777777" w:rsidR="004A4779" w:rsidRPr="00EB23E9" w:rsidRDefault="004A4779" w:rsidP="006834ED">
            <w:pPr>
              <w:spacing w:line="360" w:lineRule="auto"/>
              <w:ind w:left="1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ESAT-6 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46A4CDF2" w14:textId="4C65C20A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60D1A">
              <w:rPr>
                <w:rFonts w:cs="Times New Roman"/>
                <w:sz w:val="20"/>
                <w:szCs w:val="20"/>
              </w:rPr>
              <w:t>14 (</w:t>
            </w:r>
            <w:r w:rsidR="00DA0013">
              <w:rPr>
                <w:rFonts w:cs="Times New Roman"/>
                <w:sz w:val="20"/>
                <w:szCs w:val="20"/>
              </w:rPr>
              <w:t>3</w:t>
            </w:r>
            <w:r w:rsidRPr="00860D1A"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>40</w:t>
            </w:r>
            <w:r w:rsidRPr="00860D1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3B7DA1EB" w14:textId="77777777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6FB">
              <w:rPr>
                <w:rFonts w:cs="Times New Roman"/>
                <w:sz w:val="20"/>
                <w:szCs w:val="20"/>
              </w:rPr>
              <w:t>13 (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5916FB"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>46</w:t>
            </w:r>
            <w:r w:rsidRPr="005916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5DB98884" w14:textId="7DC6E145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6FB">
              <w:rPr>
                <w:rFonts w:cs="Times New Roman"/>
                <w:sz w:val="20"/>
                <w:szCs w:val="20"/>
              </w:rPr>
              <w:t>0 (0–</w:t>
            </w:r>
            <w:r w:rsidR="00004479">
              <w:rPr>
                <w:rFonts w:cs="Times New Roman"/>
                <w:sz w:val="20"/>
                <w:szCs w:val="20"/>
              </w:rPr>
              <w:t>5</w:t>
            </w:r>
            <w:r w:rsidRPr="005916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31B7091E" w14:textId="77777777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6FB">
              <w:rPr>
                <w:rFonts w:cs="Times New Roman"/>
                <w:sz w:val="20"/>
                <w:szCs w:val="20"/>
              </w:rPr>
              <w:t>0 (0–1)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5E5A395" w14:textId="790F568A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6FB">
              <w:rPr>
                <w:rFonts w:cs="Times New Roman"/>
                <w:sz w:val="20"/>
                <w:szCs w:val="20"/>
              </w:rPr>
              <w:t>2 (0–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5916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5C1633E" w14:textId="1FE2024D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6FB">
              <w:rPr>
                <w:rFonts w:cs="Times New Roman"/>
                <w:sz w:val="20"/>
                <w:szCs w:val="20"/>
              </w:rPr>
              <w:t>0 (0–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5916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70932BD" w14:textId="7CAA060B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6FB">
              <w:rPr>
                <w:rFonts w:cs="Times New Roman"/>
                <w:sz w:val="20"/>
                <w:szCs w:val="20"/>
              </w:rPr>
              <w:t>0 (0–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5916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6EC681B" w14:textId="58326D6E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6FB">
              <w:rPr>
                <w:rFonts w:cs="Times New Roman"/>
                <w:sz w:val="20"/>
                <w:szCs w:val="20"/>
              </w:rPr>
              <w:t>0 (0–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5916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662BFC7" w14:textId="4160A5ED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60D1A">
              <w:rPr>
                <w:rFonts w:cs="Times New Roman"/>
                <w:sz w:val="20"/>
                <w:szCs w:val="20"/>
              </w:rPr>
              <w:t>1 (0–</w:t>
            </w:r>
            <w:r w:rsidR="00004479">
              <w:rPr>
                <w:rFonts w:cs="Times New Roman"/>
                <w:sz w:val="20"/>
                <w:szCs w:val="20"/>
              </w:rPr>
              <w:t>14</w:t>
            </w:r>
            <w:r w:rsidRPr="00860D1A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4A4779" w:rsidRPr="00EB23E9" w14:paraId="7A83AF24" w14:textId="77777777" w:rsidTr="00AF0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2EEC8BC0" w14:textId="77777777" w:rsidR="004A4779" w:rsidRPr="00EB23E9" w:rsidRDefault="004A4779" w:rsidP="006834ED">
            <w:pPr>
              <w:spacing w:line="360" w:lineRule="auto"/>
              <w:ind w:left="1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CFP-10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43BA20E9" w14:textId="77777777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60D1A">
              <w:rPr>
                <w:rFonts w:cs="Times New Roman"/>
                <w:sz w:val="20"/>
                <w:szCs w:val="20"/>
              </w:rPr>
              <w:t>18 (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860D1A">
              <w:rPr>
                <w:rFonts w:cs="Times New Roman"/>
                <w:sz w:val="20"/>
                <w:szCs w:val="20"/>
              </w:rPr>
              <w:t>–64)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568D7484" w14:textId="77777777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6FB">
              <w:rPr>
                <w:rFonts w:cs="Times New Roman"/>
                <w:sz w:val="20"/>
                <w:szCs w:val="20"/>
              </w:rPr>
              <w:t>13 (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5916FB">
              <w:rPr>
                <w:rFonts w:cs="Times New Roman"/>
                <w:sz w:val="20"/>
                <w:szCs w:val="20"/>
              </w:rPr>
              <w:t>–</w:t>
            </w:r>
            <w:r>
              <w:rPr>
                <w:rFonts w:cs="Times New Roman"/>
                <w:sz w:val="20"/>
                <w:szCs w:val="20"/>
              </w:rPr>
              <w:t>70</w:t>
            </w:r>
            <w:r w:rsidRPr="005916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0BBBDF0C" w14:textId="3AE2FF08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6FB">
              <w:rPr>
                <w:rFonts w:cs="Times New Roman"/>
                <w:sz w:val="20"/>
                <w:szCs w:val="20"/>
              </w:rPr>
              <w:t>1 (0–</w:t>
            </w:r>
            <w:r w:rsidR="00004479">
              <w:rPr>
                <w:rFonts w:cs="Times New Roman"/>
                <w:sz w:val="20"/>
                <w:szCs w:val="20"/>
              </w:rPr>
              <w:t>12</w:t>
            </w:r>
            <w:r w:rsidRPr="005916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16882D6" w14:textId="62E244C4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6FB">
              <w:rPr>
                <w:rFonts w:cs="Times New Roman"/>
                <w:sz w:val="20"/>
                <w:szCs w:val="20"/>
              </w:rPr>
              <w:t>0 (0–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5916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61701D6A" w14:textId="64345818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6FB">
              <w:rPr>
                <w:rFonts w:cs="Times New Roman"/>
                <w:sz w:val="20"/>
                <w:szCs w:val="20"/>
              </w:rPr>
              <w:t>1 (0–</w:t>
            </w:r>
            <w:r>
              <w:rPr>
                <w:rFonts w:cs="Times New Roman"/>
                <w:sz w:val="20"/>
                <w:szCs w:val="20"/>
              </w:rPr>
              <w:t>12</w:t>
            </w:r>
            <w:r w:rsidRPr="005916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52544E6" w14:textId="3C7F0C6E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6FB">
              <w:rPr>
                <w:rFonts w:cs="Times New Roman"/>
                <w:sz w:val="20"/>
                <w:szCs w:val="20"/>
              </w:rPr>
              <w:t>0 (0–1)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21D0F9C8" w14:textId="7E19F8B8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6FB">
              <w:rPr>
                <w:rFonts w:cs="Times New Roman"/>
                <w:sz w:val="20"/>
                <w:szCs w:val="20"/>
              </w:rPr>
              <w:t>0 (0–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5916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690B3968" w14:textId="1FC95A62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916FB">
              <w:rPr>
                <w:rFonts w:cs="Times New Roman"/>
                <w:sz w:val="20"/>
                <w:szCs w:val="20"/>
              </w:rPr>
              <w:t>0 (0–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5916FB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EA63D1F" w14:textId="2C619A43" w:rsidR="004A4779" w:rsidRPr="005916FB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860D1A">
              <w:rPr>
                <w:rFonts w:cs="Times New Roman"/>
                <w:sz w:val="20"/>
                <w:szCs w:val="20"/>
              </w:rPr>
              <w:t>1 (0–</w:t>
            </w:r>
            <w:r w:rsidR="00004479">
              <w:rPr>
                <w:rFonts w:cs="Times New Roman"/>
                <w:sz w:val="20"/>
                <w:szCs w:val="20"/>
              </w:rPr>
              <w:t>17</w:t>
            </w:r>
            <w:r w:rsidRPr="00860D1A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4A4779" w:rsidRPr="00EB23E9" w14:paraId="2E3CB004" w14:textId="77777777" w:rsidTr="00AF0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14:paraId="28E2F30A" w14:textId="77777777" w:rsidR="004A4779" w:rsidRPr="00EB23E9" w:rsidRDefault="004A4779" w:rsidP="006834ED">
            <w:pPr>
              <w:spacing w:line="360" w:lineRule="auto"/>
              <w:ind w:left="1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1"/>
                <w:szCs w:val="21"/>
              </w:rPr>
              <w:t xml:space="preserve">     Rv3615c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14:paraId="25927CF5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25 (</w:t>
            </w:r>
            <w:r>
              <w:rPr>
                <w:rFonts w:cs="Times New Roman"/>
                <w:sz w:val="21"/>
                <w:szCs w:val="21"/>
              </w:rPr>
              <w:t>6</w:t>
            </w:r>
            <w:r w:rsidRPr="00EB23E9">
              <w:rPr>
                <w:rFonts w:cs="Times New Roman"/>
                <w:sz w:val="21"/>
                <w:szCs w:val="21"/>
              </w:rPr>
              <w:t>–</w:t>
            </w:r>
            <w:r>
              <w:rPr>
                <w:rFonts w:cs="Times New Roman"/>
                <w:sz w:val="21"/>
                <w:szCs w:val="21"/>
              </w:rPr>
              <w:t>59</w:t>
            </w:r>
            <w:r w:rsidRPr="00EB23E9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14:paraId="7FD090ED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19 (</w:t>
            </w:r>
            <w:r>
              <w:rPr>
                <w:rFonts w:cs="Times New Roman"/>
                <w:sz w:val="21"/>
                <w:szCs w:val="21"/>
              </w:rPr>
              <w:t>2</w:t>
            </w:r>
            <w:r w:rsidRPr="00EB23E9">
              <w:rPr>
                <w:rFonts w:cs="Times New Roman"/>
                <w:sz w:val="21"/>
                <w:szCs w:val="21"/>
              </w:rPr>
              <w:t>–</w:t>
            </w:r>
            <w:r>
              <w:rPr>
                <w:rFonts w:cs="Times New Roman"/>
                <w:sz w:val="21"/>
                <w:szCs w:val="21"/>
              </w:rPr>
              <w:t>60</w:t>
            </w:r>
            <w:r w:rsidRPr="00EB23E9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7F54D0B3" w14:textId="6B5F5BFD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1 (0–</w:t>
            </w:r>
            <w:r w:rsidR="00004479">
              <w:rPr>
                <w:rFonts w:cs="Times New Roman"/>
                <w:sz w:val="21"/>
                <w:szCs w:val="21"/>
              </w:rPr>
              <w:t>23</w:t>
            </w:r>
            <w:r w:rsidRPr="00EB23E9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73D765ED" w14:textId="2DCCE198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0 (0–</w:t>
            </w:r>
            <w:r>
              <w:rPr>
                <w:rFonts w:cs="Times New Roman"/>
                <w:sz w:val="21"/>
                <w:szCs w:val="21"/>
              </w:rPr>
              <w:t>1</w:t>
            </w:r>
            <w:r w:rsidRPr="00EB23E9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96E1B87" w14:textId="76D1DA23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1 (0–</w:t>
            </w:r>
            <w:r w:rsidR="00DA0013">
              <w:rPr>
                <w:rFonts w:cs="Times New Roman"/>
                <w:sz w:val="21"/>
                <w:szCs w:val="21"/>
              </w:rPr>
              <w:t>9</w:t>
            </w:r>
            <w:r w:rsidRPr="00EB23E9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0022C936" w14:textId="0D058E8E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0 (0–</w:t>
            </w:r>
            <w:r>
              <w:rPr>
                <w:rFonts w:cs="Times New Roman"/>
                <w:sz w:val="21"/>
                <w:szCs w:val="21"/>
              </w:rPr>
              <w:t>2</w:t>
            </w:r>
            <w:r w:rsidRPr="00EB23E9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518DD4D0" w14:textId="346A6512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0 (0–</w:t>
            </w:r>
            <w:r>
              <w:rPr>
                <w:rFonts w:cs="Times New Roman"/>
                <w:sz w:val="21"/>
                <w:szCs w:val="21"/>
              </w:rPr>
              <w:t>1</w:t>
            </w:r>
            <w:r w:rsidRPr="00EB23E9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14:paraId="492A123F" w14:textId="4AD088D0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0 (0–</w:t>
            </w:r>
            <w:r>
              <w:rPr>
                <w:rFonts w:cs="Times New Roman"/>
                <w:sz w:val="21"/>
                <w:szCs w:val="21"/>
              </w:rPr>
              <w:t>2</w:t>
            </w:r>
            <w:r w:rsidRPr="00EB23E9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6E0AC537" w14:textId="7F619A79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2 (0–</w:t>
            </w:r>
            <w:r w:rsidR="00004479">
              <w:rPr>
                <w:rFonts w:cs="Times New Roman"/>
                <w:sz w:val="21"/>
                <w:szCs w:val="21"/>
              </w:rPr>
              <w:t>27</w:t>
            </w:r>
            <w:r w:rsidRPr="00EB23E9">
              <w:rPr>
                <w:rFonts w:cs="Times New Roman"/>
                <w:sz w:val="21"/>
                <w:szCs w:val="21"/>
              </w:rPr>
              <w:t>)</w:t>
            </w:r>
          </w:p>
        </w:tc>
      </w:tr>
      <w:tr w:rsidR="004A4779" w:rsidRPr="00EB23E9" w14:paraId="3EDAF1A5" w14:textId="77777777" w:rsidTr="00AF08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0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39459E" w14:textId="77777777" w:rsidR="004A4779" w:rsidRPr="00EB23E9" w:rsidRDefault="004A4779" w:rsidP="006834ED">
            <w:pPr>
              <w:spacing w:line="360" w:lineRule="auto"/>
              <w:ind w:left="14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Rv3879c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30B921" w14:textId="6BAA6F1E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2 (0–</w:t>
            </w:r>
            <w:r>
              <w:rPr>
                <w:rFonts w:cs="Times New Roman"/>
                <w:sz w:val="21"/>
                <w:szCs w:val="21"/>
              </w:rPr>
              <w:t>10</w:t>
            </w:r>
            <w:r w:rsidRPr="00EB23E9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3B150F" w14:textId="77777777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1 (0–</w:t>
            </w:r>
            <w:r>
              <w:rPr>
                <w:rFonts w:cs="Times New Roman"/>
                <w:sz w:val="21"/>
                <w:szCs w:val="21"/>
              </w:rPr>
              <w:t>10</w:t>
            </w:r>
            <w:r w:rsidRPr="00EB23E9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A3B3C4" w14:textId="4458EDA6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0 (0–1)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53465CE" w14:textId="57397E9F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0 (0–</w:t>
            </w:r>
            <w:r>
              <w:rPr>
                <w:rFonts w:cs="Times New Roman"/>
                <w:sz w:val="21"/>
                <w:szCs w:val="21"/>
              </w:rPr>
              <w:t>0</w:t>
            </w:r>
            <w:r w:rsidRPr="00EB23E9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32768F" w14:textId="3ABD6FF5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0 (0–</w:t>
            </w:r>
            <w:r>
              <w:rPr>
                <w:rFonts w:cs="Times New Roman"/>
                <w:sz w:val="21"/>
                <w:szCs w:val="21"/>
              </w:rPr>
              <w:t>1</w:t>
            </w:r>
            <w:r w:rsidRPr="00EB23E9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FB4D5B" w14:textId="495A07C6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0 (0–</w:t>
            </w:r>
            <w:r>
              <w:rPr>
                <w:rFonts w:cs="Times New Roman"/>
                <w:sz w:val="21"/>
                <w:szCs w:val="21"/>
              </w:rPr>
              <w:t>1</w:t>
            </w:r>
            <w:r w:rsidRPr="00EB23E9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D343D9" w14:textId="4D16AA3F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0 (0–</w:t>
            </w:r>
            <w:r>
              <w:rPr>
                <w:rFonts w:cs="Times New Roman"/>
                <w:sz w:val="21"/>
                <w:szCs w:val="21"/>
              </w:rPr>
              <w:t>1</w:t>
            </w:r>
            <w:r w:rsidRPr="00EB23E9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DEA09D" w14:textId="2BFDE579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0 (0–</w:t>
            </w:r>
            <w:r>
              <w:rPr>
                <w:rFonts w:cs="Times New Roman"/>
                <w:sz w:val="21"/>
                <w:szCs w:val="21"/>
              </w:rPr>
              <w:t>1</w:t>
            </w:r>
            <w:r w:rsidRPr="00EB23E9">
              <w:rPr>
                <w:rFonts w:cs="Times New Roman"/>
                <w:sz w:val="21"/>
                <w:szCs w:val="21"/>
              </w:rPr>
              <w:t>)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C49D80" w14:textId="5E700625" w:rsidR="004A4779" w:rsidRPr="00EB23E9" w:rsidRDefault="004A4779" w:rsidP="006834ED">
            <w:pPr>
              <w:spacing w:line="360" w:lineRule="auto"/>
              <w:jc w:val="center"/>
              <w:rPr>
                <w:rFonts w:cs="Times New Roman"/>
                <w:sz w:val="20"/>
                <w:szCs w:val="20"/>
              </w:rPr>
            </w:pPr>
            <w:r w:rsidRPr="00EB23E9">
              <w:rPr>
                <w:rFonts w:cs="Times New Roman"/>
                <w:sz w:val="21"/>
                <w:szCs w:val="21"/>
              </w:rPr>
              <w:t>0 (0–2)</w:t>
            </w:r>
          </w:p>
        </w:tc>
      </w:tr>
    </w:tbl>
    <w:p w14:paraId="7D3683EC" w14:textId="7DB83AAA" w:rsidR="00881F88" w:rsidRPr="00E73417" w:rsidRDefault="00DF7838" w:rsidP="00724A0F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4"/>
        </w:rPr>
      </w:pPr>
      <w:r>
        <w:rPr>
          <w:rFonts w:ascii="Times New Roman" w:hAnsi="Times New Roman" w:cs="Times New Roman"/>
          <w:bCs/>
          <w:sz w:val="20"/>
          <w:szCs w:val="24"/>
        </w:rPr>
        <w:t>IQR: Interquartile range</w:t>
      </w:r>
    </w:p>
    <w:p w14:paraId="738A9EB9" w14:textId="77777777" w:rsidR="00881F88" w:rsidRDefault="00881F88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753E6C70" w14:textId="77777777" w:rsidR="00881F88" w:rsidRDefault="00881F88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1616ABAF" w14:textId="77777777" w:rsidR="00881F88" w:rsidRDefault="00881F88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674CAD53" w14:textId="77777777" w:rsidR="00881F88" w:rsidRDefault="00881F88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025E0B53" w14:textId="77777777" w:rsidR="00881F88" w:rsidRDefault="00881F88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2B1E26CE" w14:textId="77777777" w:rsidR="00881F88" w:rsidRDefault="00881F88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6C747F24" w14:textId="77777777" w:rsidR="00881F88" w:rsidRDefault="00881F88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3A9D7687" w14:textId="77777777" w:rsidR="00881F88" w:rsidRDefault="00881F88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2FD92F0A" w14:textId="77777777" w:rsidR="00881F88" w:rsidRDefault="00881F88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0B2E8AD9" w14:textId="77777777" w:rsidR="00881F88" w:rsidRDefault="00881F88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4A567977" w14:textId="018D4D3F" w:rsidR="00881F88" w:rsidRDefault="00881F88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24D90A2F" w14:textId="35686B91" w:rsidR="004A4779" w:rsidRDefault="004A477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01F36B64" w14:textId="726B7EB1" w:rsidR="004A4779" w:rsidRDefault="004A477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20E84251" w14:textId="0944EB21" w:rsidR="004A4779" w:rsidRDefault="004A477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33FD1254" w14:textId="0EB4E2FB" w:rsidR="004A4779" w:rsidRDefault="004A4779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14:paraId="58891EEC" w14:textId="066D86F4" w:rsidR="00724A0F" w:rsidRPr="007562CB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4"/>
        </w:rPr>
      </w:pPr>
      <w:r w:rsidRPr="007562CB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Supplementary table </w:t>
      </w:r>
      <w:r w:rsidR="00881F88">
        <w:rPr>
          <w:rFonts w:ascii="Times New Roman" w:hAnsi="Times New Roman" w:cs="Times New Roman"/>
          <w:b/>
          <w:bCs/>
          <w:sz w:val="20"/>
          <w:szCs w:val="24"/>
        </w:rPr>
        <w:t>6</w:t>
      </w:r>
      <w:r w:rsidRPr="007562CB">
        <w:rPr>
          <w:rFonts w:ascii="Times New Roman" w:hAnsi="Times New Roman" w:cs="Times New Roman"/>
          <w:b/>
          <w:bCs/>
          <w:sz w:val="20"/>
          <w:szCs w:val="24"/>
        </w:rPr>
        <w:t xml:space="preserve">: Diagnostic accuracy of current and </w:t>
      </w:r>
      <w:r w:rsidR="00BF48D7">
        <w:rPr>
          <w:rFonts w:ascii="Times New Roman" w:hAnsi="Times New Roman" w:cs="Times New Roman"/>
          <w:b/>
          <w:bCs/>
          <w:sz w:val="20"/>
          <w:szCs w:val="24"/>
        </w:rPr>
        <w:t>second-generation</w:t>
      </w:r>
      <w:r w:rsidRPr="007562CB">
        <w:rPr>
          <w:rFonts w:ascii="Times New Roman" w:hAnsi="Times New Roman" w:cs="Times New Roman"/>
          <w:b/>
          <w:bCs/>
          <w:sz w:val="20"/>
          <w:szCs w:val="24"/>
        </w:rPr>
        <w:t xml:space="preserve"> IGRAs for diagnosis of active TB among patients with HIV-infection. </w:t>
      </w:r>
      <w:r w:rsidRPr="007562CB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Sensitivity and specificity are presented as percentages.</w:t>
      </w:r>
    </w:p>
    <w:tbl>
      <w:tblPr>
        <w:tblStyle w:val="TableGrid3"/>
        <w:tblpPr w:leftFromText="180" w:rightFromText="180" w:vertAnchor="text" w:tblpY="1"/>
        <w:tblOverlap w:val="never"/>
        <w:tblW w:w="14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972"/>
        <w:gridCol w:w="1927"/>
        <w:gridCol w:w="972"/>
        <w:gridCol w:w="1926"/>
        <w:gridCol w:w="972"/>
        <w:gridCol w:w="1927"/>
        <w:gridCol w:w="972"/>
        <w:gridCol w:w="20"/>
        <w:gridCol w:w="1600"/>
        <w:gridCol w:w="308"/>
      </w:tblGrid>
      <w:tr w:rsidR="00724A0F" w:rsidRPr="006A0E5D" w14:paraId="3151700E" w14:textId="77777777" w:rsidTr="00E73417">
        <w:tc>
          <w:tcPr>
            <w:tcW w:w="31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1F74199B" w14:textId="77777777" w:rsidR="00724A0F" w:rsidRPr="006A0E5D" w:rsidRDefault="00724A0F" w:rsidP="006A10C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Test performance</w:t>
            </w:r>
          </w:p>
        </w:tc>
        <w:tc>
          <w:tcPr>
            <w:tcW w:w="28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0708EE" w14:textId="77777777" w:rsidR="00724A0F" w:rsidRPr="006A0E5D" w:rsidRDefault="00724A0F" w:rsidP="00E734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T-</w:t>
            </w:r>
            <w:proofErr w:type="spellStart"/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SPOT.TB</w:t>
            </w:r>
            <w:r w:rsidRPr="006A0E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EE6016" w14:textId="77777777" w:rsidR="00724A0F" w:rsidRPr="006A0E5D" w:rsidRDefault="00724A0F" w:rsidP="00E734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QFT-</w:t>
            </w:r>
            <w:proofErr w:type="spellStart"/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GIT</w:t>
            </w:r>
            <w:r w:rsidRPr="006A0E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E90CBA" w14:textId="77777777" w:rsidR="00724A0F" w:rsidRPr="006A0E5D" w:rsidRDefault="00724A0F" w:rsidP="00E734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ESAT+ CFP10 + Rv3615c</w:t>
            </w:r>
            <w:r w:rsidRPr="006A0E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90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9A0227" w14:textId="77777777" w:rsidR="00724A0F" w:rsidRPr="006A0E5D" w:rsidRDefault="00724A0F" w:rsidP="00E734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CFP10 + Rv3615c + Rv3879c</w:t>
            </w:r>
            <w:r w:rsidRPr="006A0E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</w:p>
        </w:tc>
      </w:tr>
      <w:tr w:rsidR="00724A0F" w:rsidRPr="006A0E5D" w14:paraId="7304406B" w14:textId="77777777" w:rsidTr="0055433A">
        <w:tc>
          <w:tcPr>
            <w:tcW w:w="311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4936B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D82A8B" w14:textId="77777777" w:rsidR="00724A0F" w:rsidRPr="006A0E5D" w:rsidRDefault="00724A0F" w:rsidP="005543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n/N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E4D297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Estimate (95% CI)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6FB842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n/N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FC87CF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Estimate (95% CI)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F2BCC8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n/N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41216C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Estimate (95% CI)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ABF1C5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n/N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66DB9F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Estimate (95% CI)</w:t>
            </w:r>
          </w:p>
        </w:tc>
      </w:tr>
      <w:tr w:rsidR="00724A0F" w:rsidRPr="006A0E5D" w14:paraId="07EDF51E" w14:textId="77777777" w:rsidTr="0055433A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284B07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</w:rPr>
              <w:t>Sensitivity for active TB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D2EC49" w14:textId="77777777" w:rsidR="00724A0F" w:rsidRPr="006A0E5D" w:rsidRDefault="00724A0F" w:rsidP="005543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BF94D2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BD1022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20CC02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3F3289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826206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F7591E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22C50B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A0F" w:rsidRPr="006A0E5D" w14:paraId="681CB056" w14:textId="77777777" w:rsidTr="0055433A">
        <w:trPr>
          <w:gridAfter w:val="1"/>
          <w:wAfter w:w="308" w:type="dxa"/>
          <w:trHeight w:val="57"/>
        </w:trPr>
        <w:tc>
          <w:tcPr>
            <w:tcW w:w="3118" w:type="dxa"/>
            <w:hideMark/>
          </w:tcPr>
          <w:p w14:paraId="4EE12344" w14:textId="77777777" w:rsidR="00724A0F" w:rsidRPr="006A0E5D" w:rsidRDefault="00724A0F" w:rsidP="0055433A">
            <w:pPr>
              <w:spacing w:line="36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</w:rPr>
              <w:t>All TB</w:t>
            </w:r>
          </w:p>
        </w:tc>
        <w:tc>
          <w:tcPr>
            <w:tcW w:w="972" w:type="dxa"/>
          </w:tcPr>
          <w:p w14:paraId="2E12B75A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12/19</w:t>
            </w:r>
          </w:p>
        </w:tc>
        <w:tc>
          <w:tcPr>
            <w:tcW w:w="1927" w:type="dxa"/>
          </w:tcPr>
          <w:p w14:paraId="1F10D4C2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63.2 (41.0–80.9)</w:t>
            </w:r>
          </w:p>
        </w:tc>
        <w:tc>
          <w:tcPr>
            <w:tcW w:w="972" w:type="dxa"/>
          </w:tcPr>
          <w:p w14:paraId="63BEE0E1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13/23</w:t>
            </w:r>
          </w:p>
        </w:tc>
        <w:tc>
          <w:tcPr>
            <w:tcW w:w="1926" w:type="dxa"/>
          </w:tcPr>
          <w:p w14:paraId="2CC5FFBE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56.5 (36.8–74.4)</w:t>
            </w:r>
          </w:p>
        </w:tc>
        <w:tc>
          <w:tcPr>
            <w:tcW w:w="972" w:type="dxa"/>
          </w:tcPr>
          <w:p w14:paraId="42F0D3FF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12/17</w:t>
            </w:r>
          </w:p>
        </w:tc>
        <w:tc>
          <w:tcPr>
            <w:tcW w:w="1927" w:type="dxa"/>
          </w:tcPr>
          <w:p w14:paraId="2C01AB6A" w14:textId="243675B1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70.6</w:t>
            </w:r>
            <w:r w:rsidR="00AF087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(46.9–86.7)</w:t>
            </w:r>
          </w:p>
        </w:tc>
        <w:tc>
          <w:tcPr>
            <w:tcW w:w="992" w:type="dxa"/>
            <w:gridSpan w:val="2"/>
          </w:tcPr>
          <w:p w14:paraId="5719C9D0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11/16</w:t>
            </w:r>
          </w:p>
        </w:tc>
        <w:tc>
          <w:tcPr>
            <w:tcW w:w="1600" w:type="dxa"/>
          </w:tcPr>
          <w:p w14:paraId="13601545" w14:textId="5D827029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68.8</w:t>
            </w:r>
            <w:r w:rsidR="00AF0873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(44.4–85.8)</w:t>
            </w:r>
          </w:p>
        </w:tc>
      </w:tr>
      <w:tr w:rsidR="00724A0F" w:rsidRPr="006A0E5D" w14:paraId="13FF1B27" w14:textId="77777777" w:rsidTr="0055433A">
        <w:trPr>
          <w:trHeight w:val="242"/>
        </w:trPr>
        <w:tc>
          <w:tcPr>
            <w:tcW w:w="3118" w:type="dxa"/>
            <w:hideMark/>
          </w:tcPr>
          <w:p w14:paraId="2FA5BCE4" w14:textId="77777777" w:rsidR="00724A0F" w:rsidRPr="006A0E5D" w:rsidRDefault="00724A0F" w:rsidP="0055433A">
            <w:pPr>
              <w:spacing w:line="36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</w:rPr>
              <w:t xml:space="preserve">Culture-confirmed </w:t>
            </w:r>
            <w:proofErr w:type="spellStart"/>
            <w:r w:rsidRPr="006A0E5D">
              <w:rPr>
                <w:rFonts w:ascii="Times New Roman" w:hAnsi="Times New Roman" w:cs="Times New Roman"/>
                <w:sz w:val="20"/>
                <w:szCs w:val="20"/>
              </w:rPr>
              <w:t>TB</w:t>
            </w:r>
            <w:r w:rsidRPr="006A0E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972" w:type="dxa"/>
          </w:tcPr>
          <w:p w14:paraId="044C5504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7/11</w:t>
            </w:r>
          </w:p>
        </w:tc>
        <w:tc>
          <w:tcPr>
            <w:tcW w:w="1927" w:type="dxa"/>
          </w:tcPr>
          <w:p w14:paraId="7F663A4A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63.6 (35.4–84.8)</w:t>
            </w:r>
          </w:p>
        </w:tc>
        <w:tc>
          <w:tcPr>
            <w:tcW w:w="972" w:type="dxa"/>
          </w:tcPr>
          <w:p w14:paraId="0FD71FCC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8/13</w:t>
            </w:r>
          </w:p>
        </w:tc>
        <w:tc>
          <w:tcPr>
            <w:tcW w:w="1926" w:type="dxa"/>
          </w:tcPr>
          <w:p w14:paraId="4AEB92C6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61.5 (35.5–82.3)</w:t>
            </w:r>
          </w:p>
        </w:tc>
        <w:tc>
          <w:tcPr>
            <w:tcW w:w="972" w:type="dxa"/>
          </w:tcPr>
          <w:p w14:paraId="4A6AA293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7/9</w:t>
            </w:r>
          </w:p>
        </w:tc>
        <w:tc>
          <w:tcPr>
            <w:tcW w:w="1927" w:type="dxa"/>
          </w:tcPr>
          <w:p w14:paraId="77EBC9C6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77.8 (45.3–93.7)</w:t>
            </w:r>
          </w:p>
        </w:tc>
        <w:tc>
          <w:tcPr>
            <w:tcW w:w="972" w:type="dxa"/>
          </w:tcPr>
          <w:p w14:paraId="2BA8B21C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7/9</w:t>
            </w:r>
          </w:p>
        </w:tc>
        <w:tc>
          <w:tcPr>
            <w:tcW w:w="1928" w:type="dxa"/>
            <w:gridSpan w:val="3"/>
          </w:tcPr>
          <w:p w14:paraId="01C59559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77.8 (45.3–93.7)</w:t>
            </w:r>
          </w:p>
        </w:tc>
      </w:tr>
      <w:tr w:rsidR="00724A0F" w:rsidRPr="006A0E5D" w14:paraId="60524063" w14:textId="77777777" w:rsidTr="0055433A">
        <w:tc>
          <w:tcPr>
            <w:tcW w:w="3118" w:type="dxa"/>
            <w:hideMark/>
          </w:tcPr>
          <w:p w14:paraId="3CC153E7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</w:rPr>
              <w:t>Specificity for active TB</w:t>
            </w:r>
          </w:p>
        </w:tc>
        <w:tc>
          <w:tcPr>
            <w:tcW w:w="972" w:type="dxa"/>
            <w:vAlign w:val="center"/>
          </w:tcPr>
          <w:p w14:paraId="5FBCA041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625CC78F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C60B303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44C02972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1B02CC77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7" w:type="dxa"/>
            <w:vAlign w:val="center"/>
          </w:tcPr>
          <w:p w14:paraId="556AA0BC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  <w:vAlign w:val="center"/>
          </w:tcPr>
          <w:p w14:paraId="76A52C47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8" w:type="dxa"/>
            <w:gridSpan w:val="3"/>
            <w:vAlign w:val="center"/>
          </w:tcPr>
          <w:p w14:paraId="39A093C8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A0F" w:rsidRPr="006A0E5D" w14:paraId="3632AC66" w14:textId="77777777" w:rsidTr="0055433A">
        <w:tc>
          <w:tcPr>
            <w:tcW w:w="3118" w:type="dxa"/>
            <w:hideMark/>
          </w:tcPr>
          <w:p w14:paraId="4E7D02E9" w14:textId="77777777" w:rsidR="00724A0F" w:rsidRPr="006A0E5D" w:rsidRDefault="00724A0F" w:rsidP="0055433A">
            <w:pPr>
              <w:spacing w:line="36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</w:rPr>
              <w:t xml:space="preserve">Active TB excluded </w:t>
            </w:r>
          </w:p>
        </w:tc>
        <w:tc>
          <w:tcPr>
            <w:tcW w:w="972" w:type="dxa"/>
          </w:tcPr>
          <w:p w14:paraId="2CE58288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71/76</w:t>
            </w:r>
          </w:p>
        </w:tc>
        <w:tc>
          <w:tcPr>
            <w:tcW w:w="1927" w:type="dxa"/>
          </w:tcPr>
          <w:p w14:paraId="7BCD65BB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 xml:space="preserve"> 93.4 (85.5–97.2) </w:t>
            </w:r>
          </w:p>
        </w:tc>
        <w:tc>
          <w:tcPr>
            <w:tcW w:w="972" w:type="dxa"/>
          </w:tcPr>
          <w:p w14:paraId="11C4BE55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80/87</w:t>
            </w:r>
          </w:p>
        </w:tc>
        <w:tc>
          <w:tcPr>
            <w:tcW w:w="1926" w:type="dxa"/>
          </w:tcPr>
          <w:p w14:paraId="43C67F0C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92.0 (84.3–96.1)</w:t>
            </w:r>
          </w:p>
        </w:tc>
        <w:tc>
          <w:tcPr>
            <w:tcW w:w="972" w:type="dxa"/>
          </w:tcPr>
          <w:p w14:paraId="3104C3BB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70/76</w:t>
            </w:r>
          </w:p>
        </w:tc>
        <w:tc>
          <w:tcPr>
            <w:tcW w:w="1927" w:type="dxa"/>
          </w:tcPr>
          <w:p w14:paraId="1ED5A4A4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92.1 (83.8–96.3)</w:t>
            </w:r>
          </w:p>
        </w:tc>
        <w:tc>
          <w:tcPr>
            <w:tcW w:w="972" w:type="dxa"/>
          </w:tcPr>
          <w:p w14:paraId="0519FAE7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67/77</w:t>
            </w:r>
          </w:p>
        </w:tc>
        <w:tc>
          <w:tcPr>
            <w:tcW w:w="1928" w:type="dxa"/>
            <w:gridSpan w:val="3"/>
          </w:tcPr>
          <w:p w14:paraId="50BB22CB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87.0 (77.7–892.8)</w:t>
            </w:r>
          </w:p>
        </w:tc>
      </w:tr>
      <w:tr w:rsidR="00724A0F" w:rsidRPr="006A0E5D" w14:paraId="5795044D" w14:textId="77777777" w:rsidTr="0055433A">
        <w:tc>
          <w:tcPr>
            <w:tcW w:w="3118" w:type="dxa"/>
            <w:tcBorders>
              <w:bottom w:val="single" w:sz="12" w:space="0" w:color="auto"/>
            </w:tcBorders>
            <w:hideMark/>
          </w:tcPr>
          <w:p w14:paraId="510C990C" w14:textId="77777777" w:rsidR="00724A0F" w:rsidRPr="006A0E5D" w:rsidRDefault="00724A0F" w:rsidP="0055433A">
            <w:pPr>
              <w:spacing w:line="36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</w:rPr>
              <w:t>Active TB excluded, TST-negative, no risk factors for LTBI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5852F3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28/29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731C34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96.6 (82.8–99.4)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0DCE54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36/38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B16BBF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94.7 (82.7–98.5)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E7F4259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27/28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212081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96.4 (82.3–99.4)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E8DC58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27/29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59C986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93.1 (78.0–98.1)</w:t>
            </w:r>
          </w:p>
        </w:tc>
      </w:tr>
    </w:tbl>
    <w:p w14:paraId="0AD2EA06" w14:textId="77777777" w:rsidR="00724A0F" w:rsidRPr="00A227A2" w:rsidRDefault="00724A0F" w:rsidP="00724A0F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A227A2">
        <w:rPr>
          <w:rFonts w:ascii="Times New Roman" w:hAnsi="Times New Roman" w:cs="Times New Roman"/>
          <w:sz w:val="20"/>
          <w:szCs w:val="24"/>
        </w:rPr>
        <w:t>LTBI, latent tuberculosis infection; TST, tuberculin skin test.</w:t>
      </w:r>
    </w:p>
    <w:p w14:paraId="586898CF" w14:textId="32DF0021" w:rsidR="00724A0F" w:rsidRPr="006A0E5D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B53839">
        <w:rPr>
          <w:rFonts w:ascii="Times New Roman" w:hAnsi="Times New Roman" w:cs="Times New Roman"/>
          <w:sz w:val="20"/>
          <w:szCs w:val="24"/>
          <w:vertAlign w:val="superscript"/>
        </w:rPr>
        <w:t>a</w:t>
      </w:r>
      <w:r w:rsidR="00031F86">
        <w:rPr>
          <w:rFonts w:ascii="Times New Roman" w:hAnsi="Times New Roman" w:cs="Times New Roman"/>
          <w:sz w:val="20"/>
          <w:szCs w:val="24"/>
        </w:rPr>
        <w:t>One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B53839">
        <w:rPr>
          <w:rFonts w:ascii="Times New Roman" w:hAnsi="Times New Roman" w:cs="Times New Roman"/>
          <w:sz w:val="20"/>
          <w:szCs w:val="24"/>
        </w:rPr>
        <w:t>QFT-GIT, and</w:t>
      </w:r>
      <w:r w:rsidR="000B19B6">
        <w:rPr>
          <w:rFonts w:ascii="Times New Roman" w:hAnsi="Times New Roman" w:cs="Times New Roman"/>
          <w:sz w:val="20"/>
          <w:szCs w:val="24"/>
        </w:rPr>
        <w:t xml:space="preserve"> </w:t>
      </w:r>
      <w:r w:rsidR="00031F86">
        <w:rPr>
          <w:rFonts w:ascii="Times New Roman" w:hAnsi="Times New Roman" w:cs="Times New Roman"/>
          <w:sz w:val="20"/>
          <w:szCs w:val="24"/>
        </w:rPr>
        <w:t>two</w:t>
      </w:r>
      <w:r w:rsidR="00031F86" w:rsidRPr="00B53839">
        <w:rPr>
          <w:rFonts w:ascii="Times New Roman" w:hAnsi="Times New Roman" w:cs="Times New Roman"/>
          <w:sz w:val="20"/>
          <w:szCs w:val="24"/>
        </w:rPr>
        <w:t xml:space="preserve"> </w:t>
      </w:r>
      <w:r w:rsidRPr="00B53839">
        <w:rPr>
          <w:rFonts w:ascii="Times New Roman" w:hAnsi="Times New Roman" w:cs="Times New Roman"/>
          <w:sz w:val="20"/>
          <w:szCs w:val="24"/>
        </w:rPr>
        <w:t>T-</w:t>
      </w:r>
      <w:r w:rsidRPr="006A0E5D">
        <w:rPr>
          <w:rFonts w:ascii="Times New Roman" w:hAnsi="Times New Roman" w:cs="Times New Roman"/>
          <w:sz w:val="20"/>
          <w:szCs w:val="24"/>
        </w:rPr>
        <w:t xml:space="preserve">SPOT.TB and </w:t>
      </w:r>
      <w:r w:rsidR="00BF48D7">
        <w:rPr>
          <w:rFonts w:ascii="Times New Roman" w:hAnsi="Times New Roman" w:cs="Times New Roman"/>
          <w:sz w:val="20"/>
          <w:szCs w:val="24"/>
        </w:rPr>
        <w:t>second-generation</w:t>
      </w:r>
      <w:r w:rsidRPr="006A0E5D">
        <w:rPr>
          <w:rFonts w:ascii="Times New Roman" w:hAnsi="Times New Roman" w:cs="Times New Roman"/>
          <w:sz w:val="20"/>
          <w:szCs w:val="24"/>
        </w:rPr>
        <w:t xml:space="preserve"> IGRA results were missing due to blood draw difficulties, samples being unsuitable for testing, or samples being destroyed for laboratory reasons. Missing results were spread across all diagnostic categories.</w:t>
      </w:r>
    </w:p>
    <w:p w14:paraId="3FBB129E" w14:textId="026346DF" w:rsidR="00724A0F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A72DC6">
        <w:rPr>
          <w:rFonts w:ascii="Times New Roman" w:hAnsi="Times New Roman" w:cs="Times New Roman"/>
          <w:sz w:val="20"/>
          <w:szCs w:val="24"/>
          <w:vertAlign w:val="superscript"/>
        </w:rPr>
        <w:t>b</w:t>
      </w:r>
      <w:r w:rsidR="00031F86">
        <w:rPr>
          <w:rFonts w:ascii="Times New Roman" w:hAnsi="Times New Roman" w:cs="Times New Roman"/>
          <w:sz w:val="20"/>
          <w:szCs w:val="24"/>
        </w:rPr>
        <w:t>Thirty</w:t>
      </w:r>
      <w:proofErr w:type="spellEnd"/>
      <w:r w:rsidR="00031F86">
        <w:rPr>
          <w:rFonts w:ascii="Times New Roman" w:hAnsi="Times New Roman" w:cs="Times New Roman"/>
          <w:sz w:val="20"/>
          <w:szCs w:val="24"/>
        </w:rPr>
        <w:t>-three</w:t>
      </w:r>
      <w:r>
        <w:rPr>
          <w:rFonts w:ascii="Times New Roman" w:hAnsi="Times New Roman" w:cs="Times New Roman"/>
          <w:sz w:val="20"/>
          <w:szCs w:val="24"/>
        </w:rPr>
        <w:t xml:space="preserve"> HIV-positive patients had indeterminate T-SPOT.TB results, and 22 had indeterminate QFT-GIT results. </w:t>
      </w:r>
      <w:r w:rsidRPr="006A0E5D">
        <w:rPr>
          <w:rFonts w:ascii="Times New Roman" w:hAnsi="Times New Roman" w:cs="Times New Roman"/>
          <w:sz w:val="20"/>
          <w:szCs w:val="24"/>
        </w:rPr>
        <w:t>Indeterminate and borderline IGRA results were excluded from analyses.</w:t>
      </w:r>
    </w:p>
    <w:p w14:paraId="06C613F0" w14:textId="77777777" w:rsidR="00724A0F" w:rsidRPr="006A0E5D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7F79E2C" w14:textId="77777777" w:rsidR="00724A0F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C02D4" w14:textId="77777777" w:rsidR="00724A0F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5812B" w14:textId="77777777" w:rsidR="00724A0F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915BA" w14:textId="77777777" w:rsidR="00724A0F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368DE" w14:textId="77777777" w:rsidR="00724A0F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B06DC" w14:textId="77777777" w:rsidR="00724A0F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22E338" w14:textId="77777777" w:rsidR="00724A0F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37EC8" w14:textId="277225FC" w:rsidR="00724A0F" w:rsidRPr="007A726A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A726A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Supplementary table </w:t>
      </w:r>
      <w:r w:rsidR="00881F88">
        <w:rPr>
          <w:rFonts w:ascii="Times New Roman" w:hAnsi="Times New Roman" w:cs="Times New Roman"/>
          <w:b/>
          <w:bCs/>
          <w:sz w:val="20"/>
          <w:szCs w:val="24"/>
        </w:rPr>
        <w:t>7</w:t>
      </w:r>
      <w:r w:rsidRPr="007A726A">
        <w:rPr>
          <w:rFonts w:ascii="Times New Roman" w:hAnsi="Times New Roman" w:cs="Times New Roman"/>
          <w:b/>
          <w:bCs/>
          <w:sz w:val="20"/>
          <w:szCs w:val="24"/>
        </w:rPr>
        <w:t xml:space="preserve">: Diagnostic accuracy of current and </w:t>
      </w:r>
      <w:r w:rsidR="00BF48D7">
        <w:rPr>
          <w:rFonts w:ascii="Times New Roman" w:hAnsi="Times New Roman" w:cs="Times New Roman"/>
          <w:b/>
          <w:bCs/>
          <w:sz w:val="20"/>
          <w:szCs w:val="24"/>
        </w:rPr>
        <w:t>second-generation</w:t>
      </w:r>
      <w:r w:rsidRPr="007A726A">
        <w:rPr>
          <w:rFonts w:ascii="Times New Roman" w:hAnsi="Times New Roman" w:cs="Times New Roman"/>
          <w:b/>
          <w:bCs/>
          <w:sz w:val="20"/>
          <w:szCs w:val="24"/>
        </w:rPr>
        <w:t xml:space="preserve"> IGRAs for diagnosis of active TB among patients with Diabetes. </w:t>
      </w:r>
      <w:r w:rsidRPr="007A726A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Sensitivity and specificity are presented as percentages.</w:t>
      </w:r>
    </w:p>
    <w:tbl>
      <w:tblPr>
        <w:tblStyle w:val="TableGrid4"/>
        <w:tblW w:w="14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972"/>
        <w:gridCol w:w="1927"/>
        <w:gridCol w:w="972"/>
        <w:gridCol w:w="1926"/>
        <w:gridCol w:w="972"/>
        <w:gridCol w:w="1927"/>
        <w:gridCol w:w="972"/>
        <w:gridCol w:w="20"/>
        <w:gridCol w:w="1600"/>
        <w:gridCol w:w="307"/>
      </w:tblGrid>
      <w:tr w:rsidR="00724A0F" w:rsidRPr="006A0E5D" w14:paraId="486B175A" w14:textId="77777777" w:rsidTr="00E73417">
        <w:tc>
          <w:tcPr>
            <w:tcW w:w="311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  <w:hideMark/>
          </w:tcPr>
          <w:p w14:paraId="25D3BBA4" w14:textId="77777777" w:rsidR="00724A0F" w:rsidRPr="006A0E5D" w:rsidRDefault="00724A0F" w:rsidP="006A10C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Test performance</w:t>
            </w:r>
          </w:p>
        </w:tc>
        <w:tc>
          <w:tcPr>
            <w:tcW w:w="28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D24C3C" w14:textId="77777777" w:rsidR="00724A0F" w:rsidRPr="006A0E5D" w:rsidRDefault="00724A0F" w:rsidP="00E734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T-</w:t>
            </w:r>
            <w:proofErr w:type="spellStart"/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SPOT.TB</w:t>
            </w:r>
            <w:r w:rsidRPr="006A0E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C3627B" w14:textId="77777777" w:rsidR="00724A0F" w:rsidRPr="006A0E5D" w:rsidRDefault="00724A0F" w:rsidP="00E734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QFT-</w:t>
            </w:r>
            <w:proofErr w:type="spellStart"/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GIT</w:t>
            </w:r>
            <w:r w:rsidRPr="006A0E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EA5C381" w14:textId="77777777" w:rsidR="00724A0F" w:rsidRPr="006A0E5D" w:rsidRDefault="00724A0F" w:rsidP="00E734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ESAT+ CFP10 + Rv3615c</w:t>
            </w:r>
            <w:r w:rsidRPr="006A0E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89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49F5E4" w14:textId="77777777" w:rsidR="00724A0F" w:rsidRPr="006A0E5D" w:rsidRDefault="00724A0F" w:rsidP="00E734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CFP10 + Rv3615c + Rv3879c</w:t>
            </w:r>
            <w:r w:rsidRPr="006A0E5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</w:p>
        </w:tc>
      </w:tr>
      <w:tr w:rsidR="00724A0F" w:rsidRPr="006A0E5D" w14:paraId="3DFC101D" w14:textId="77777777" w:rsidTr="0055433A">
        <w:tc>
          <w:tcPr>
            <w:tcW w:w="311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6BA459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8CBD33" w14:textId="77777777" w:rsidR="00724A0F" w:rsidRPr="006A0E5D" w:rsidRDefault="00724A0F" w:rsidP="0055433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n/N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54349B0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Estimate (95% CI)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6E97AB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n/N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BD2D7A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Estimate (95% CI)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865733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n/N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CBEF25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Estimate (95% CI)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A235B2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n/N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F2C854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Estimate (95% CI)</w:t>
            </w:r>
          </w:p>
        </w:tc>
      </w:tr>
      <w:tr w:rsidR="00724A0F" w:rsidRPr="006A0E5D" w14:paraId="0785AD65" w14:textId="77777777" w:rsidTr="0055433A"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02FAF6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</w:rPr>
              <w:t>Sensitivity for active TB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625B5A" w14:textId="77777777" w:rsidR="00724A0F" w:rsidRPr="006A0E5D" w:rsidRDefault="00724A0F" w:rsidP="005543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575712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B44368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8A959D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9AA803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2C5E39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277019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043C2F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A0F" w:rsidRPr="006A0E5D" w14:paraId="77E9A185" w14:textId="77777777" w:rsidTr="0055433A">
        <w:trPr>
          <w:gridAfter w:val="1"/>
          <w:wAfter w:w="307" w:type="dxa"/>
          <w:trHeight w:val="57"/>
        </w:trPr>
        <w:tc>
          <w:tcPr>
            <w:tcW w:w="3118" w:type="dxa"/>
            <w:hideMark/>
          </w:tcPr>
          <w:p w14:paraId="2E59B8C2" w14:textId="77777777" w:rsidR="00724A0F" w:rsidRPr="006A0E5D" w:rsidRDefault="00724A0F" w:rsidP="0055433A">
            <w:pPr>
              <w:spacing w:line="36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</w:rPr>
              <w:t>All TB</w:t>
            </w:r>
          </w:p>
        </w:tc>
        <w:tc>
          <w:tcPr>
            <w:tcW w:w="972" w:type="dxa"/>
          </w:tcPr>
          <w:p w14:paraId="4311C5BD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16/24</w:t>
            </w:r>
          </w:p>
        </w:tc>
        <w:tc>
          <w:tcPr>
            <w:tcW w:w="1927" w:type="dxa"/>
          </w:tcPr>
          <w:p w14:paraId="1BDBC6A5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66.7 (46.7–82.0)</w:t>
            </w:r>
          </w:p>
        </w:tc>
        <w:tc>
          <w:tcPr>
            <w:tcW w:w="972" w:type="dxa"/>
          </w:tcPr>
          <w:p w14:paraId="59605965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15/27</w:t>
            </w:r>
          </w:p>
        </w:tc>
        <w:tc>
          <w:tcPr>
            <w:tcW w:w="1926" w:type="dxa"/>
          </w:tcPr>
          <w:p w14:paraId="60524D08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55.6 (37.3–72.4)</w:t>
            </w:r>
          </w:p>
        </w:tc>
        <w:tc>
          <w:tcPr>
            <w:tcW w:w="972" w:type="dxa"/>
          </w:tcPr>
          <w:p w14:paraId="506227D6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18/21</w:t>
            </w:r>
          </w:p>
        </w:tc>
        <w:tc>
          <w:tcPr>
            <w:tcW w:w="1927" w:type="dxa"/>
          </w:tcPr>
          <w:p w14:paraId="609F2737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85.7 (65.4–95.0)</w:t>
            </w:r>
          </w:p>
        </w:tc>
        <w:tc>
          <w:tcPr>
            <w:tcW w:w="992" w:type="dxa"/>
            <w:gridSpan w:val="2"/>
          </w:tcPr>
          <w:p w14:paraId="54B04717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18/21</w:t>
            </w:r>
          </w:p>
        </w:tc>
        <w:tc>
          <w:tcPr>
            <w:tcW w:w="1600" w:type="dxa"/>
          </w:tcPr>
          <w:p w14:paraId="09A41C98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85.7 (65.4–95.0)</w:t>
            </w:r>
          </w:p>
        </w:tc>
      </w:tr>
      <w:tr w:rsidR="00724A0F" w:rsidRPr="006A0E5D" w14:paraId="1735D86D" w14:textId="77777777" w:rsidTr="0055433A">
        <w:trPr>
          <w:trHeight w:val="242"/>
        </w:trPr>
        <w:tc>
          <w:tcPr>
            <w:tcW w:w="3118" w:type="dxa"/>
            <w:hideMark/>
          </w:tcPr>
          <w:p w14:paraId="58E67542" w14:textId="77777777" w:rsidR="00724A0F" w:rsidRPr="006A0E5D" w:rsidRDefault="00724A0F" w:rsidP="0055433A">
            <w:pPr>
              <w:spacing w:line="36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</w:rPr>
              <w:t xml:space="preserve">Culture-confirmed </w:t>
            </w:r>
            <w:proofErr w:type="spellStart"/>
            <w:r w:rsidRPr="006A0E5D">
              <w:rPr>
                <w:rFonts w:ascii="Times New Roman" w:hAnsi="Times New Roman" w:cs="Times New Roman"/>
                <w:sz w:val="20"/>
                <w:szCs w:val="20"/>
              </w:rPr>
              <w:t>TB</w:t>
            </w:r>
            <w:r w:rsidRPr="006A0E5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972" w:type="dxa"/>
          </w:tcPr>
          <w:p w14:paraId="1C2D4E41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13/20</w:t>
            </w:r>
          </w:p>
        </w:tc>
        <w:tc>
          <w:tcPr>
            <w:tcW w:w="1927" w:type="dxa"/>
          </w:tcPr>
          <w:p w14:paraId="111FCEF6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65.0 (43.3–81.9)</w:t>
            </w:r>
          </w:p>
        </w:tc>
        <w:tc>
          <w:tcPr>
            <w:tcW w:w="972" w:type="dxa"/>
          </w:tcPr>
          <w:p w14:paraId="0C536174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12/22</w:t>
            </w:r>
          </w:p>
        </w:tc>
        <w:tc>
          <w:tcPr>
            <w:tcW w:w="1926" w:type="dxa"/>
          </w:tcPr>
          <w:p w14:paraId="75CE4773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54.5 (34.7–73.1)</w:t>
            </w:r>
          </w:p>
        </w:tc>
        <w:tc>
          <w:tcPr>
            <w:tcW w:w="972" w:type="dxa"/>
          </w:tcPr>
          <w:p w14:paraId="0597FC58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14/17</w:t>
            </w:r>
          </w:p>
        </w:tc>
        <w:tc>
          <w:tcPr>
            <w:tcW w:w="1927" w:type="dxa"/>
          </w:tcPr>
          <w:p w14:paraId="32B86F4C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82.4 (59.0–93.8)</w:t>
            </w:r>
          </w:p>
        </w:tc>
        <w:tc>
          <w:tcPr>
            <w:tcW w:w="972" w:type="dxa"/>
          </w:tcPr>
          <w:p w14:paraId="68927A58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14/17</w:t>
            </w:r>
          </w:p>
        </w:tc>
        <w:tc>
          <w:tcPr>
            <w:tcW w:w="1927" w:type="dxa"/>
            <w:gridSpan w:val="3"/>
          </w:tcPr>
          <w:p w14:paraId="566C6399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82.4 (59.0–93.8)</w:t>
            </w:r>
          </w:p>
        </w:tc>
      </w:tr>
      <w:tr w:rsidR="00724A0F" w:rsidRPr="006A0E5D" w14:paraId="3A6EF828" w14:textId="77777777" w:rsidTr="0055433A">
        <w:tc>
          <w:tcPr>
            <w:tcW w:w="3118" w:type="dxa"/>
            <w:hideMark/>
          </w:tcPr>
          <w:p w14:paraId="07BC7A09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</w:rPr>
              <w:t>Specificity for active TB</w:t>
            </w:r>
          </w:p>
        </w:tc>
        <w:tc>
          <w:tcPr>
            <w:tcW w:w="972" w:type="dxa"/>
            <w:vAlign w:val="center"/>
          </w:tcPr>
          <w:p w14:paraId="64A253BB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42730A12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14:paraId="525625E9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6" w:type="dxa"/>
            <w:vAlign w:val="center"/>
          </w:tcPr>
          <w:p w14:paraId="4DF93F86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</w:tcPr>
          <w:p w14:paraId="6E06D663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7" w:type="dxa"/>
          </w:tcPr>
          <w:p w14:paraId="175B8496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2" w:type="dxa"/>
          </w:tcPr>
          <w:p w14:paraId="2CFA2245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927" w:type="dxa"/>
            <w:gridSpan w:val="3"/>
          </w:tcPr>
          <w:p w14:paraId="13017840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24A0F" w:rsidRPr="006A0E5D" w14:paraId="51AF1AAA" w14:textId="77777777" w:rsidTr="0055433A">
        <w:tc>
          <w:tcPr>
            <w:tcW w:w="3118" w:type="dxa"/>
            <w:hideMark/>
          </w:tcPr>
          <w:p w14:paraId="4E32E641" w14:textId="77777777" w:rsidR="00724A0F" w:rsidRPr="006A0E5D" w:rsidRDefault="00724A0F" w:rsidP="0055433A">
            <w:pPr>
              <w:spacing w:line="36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</w:rPr>
              <w:t xml:space="preserve">Active TB excluded </w:t>
            </w:r>
          </w:p>
        </w:tc>
        <w:tc>
          <w:tcPr>
            <w:tcW w:w="972" w:type="dxa"/>
          </w:tcPr>
          <w:p w14:paraId="11B82FA5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38/47</w:t>
            </w:r>
          </w:p>
        </w:tc>
        <w:tc>
          <w:tcPr>
            <w:tcW w:w="1927" w:type="dxa"/>
          </w:tcPr>
          <w:p w14:paraId="62089339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80.9 (67.5–89.6)</w:t>
            </w:r>
          </w:p>
        </w:tc>
        <w:tc>
          <w:tcPr>
            <w:tcW w:w="972" w:type="dxa"/>
          </w:tcPr>
          <w:p w14:paraId="7E04DA14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37/47</w:t>
            </w:r>
          </w:p>
        </w:tc>
        <w:tc>
          <w:tcPr>
            <w:tcW w:w="1926" w:type="dxa"/>
          </w:tcPr>
          <w:p w14:paraId="1B2F3272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78.7 (65.1–88.0)</w:t>
            </w:r>
          </w:p>
        </w:tc>
        <w:tc>
          <w:tcPr>
            <w:tcW w:w="972" w:type="dxa"/>
          </w:tcPr>
          <w:p w14:paraId="7CAEF895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34/48</w:t>
            </w:r>
          </w:p>
        </w:tc>
        <w:tc>
          <w:tcPr>
            <w:tcW w:w="1927" w:type="dxa"/>
          </w:tcPr>
          <w:p w14:paraId="5F835CAB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70.8 (56.8–81.8)</w:t>
            </w:r>
          </w:p>
        </w:tc>
        <w:tc>
          <w:tcPr>
            <w:tcW w:w="972" w:type="dxa"/>
          </w:tcPr>
          <w:p w14:paraId="4D8705BB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34/47</w:t>
            </w:r>
          </w:p>
        </w:tc>
        <w:tc>
          <w:tcPr>
            <w:tcW w:w="1927" w:type="dxa"/>
            <w:gridSpan w:val="3"/>
          </w:tcPr>
          <w:p w14:paraId="4FF3A934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72.3 (58.2–83.1)</w:t>
            </w:r>
          </w:p>
        </w:tc>
      </w:tr>
      <w:tr w:rsidR="00724A0F" w:rsidRPr="006A0E5D" w14:paraId="0930DD3D" w14:textId="77777777" w:rsidTr="0055433A">
        <w:tc>
          <w:tcPr>
            <w:tcW w:w="3118" w:type="dxa"/>
            <w:tcBorders>
              <w:bottom w:val="single" w:sz="12" w:space="0" w:color="auto"/>
            </w:tcBorders>
            <w:hideMark/>
          </w:tcPr>
          <w:p w14:paraId="459EBF61" w14:textId="77777777" w:rsidR="00724A0F" w:rsidRPr="006A0E5D" w:rsidRDefault="00724A0F" w:rsidP="0055433A">
            <w:pPr>
              <w:spacing w:line="36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</w:rPr>
              <w:t>Active TB excluded, TST-negative, no risk factors for LTBI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7620BAFC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6/7</w:t>
            </w:r>
          </w:p>
        </w:tc>
        <w:tc>
          <w:tcPr>
            <w:tcW w:w="1927" w:type="dxa"/>
            <w:tcBorders>
              <w:bottom w:val="single" w:sz="12" w:space="0" w:color="auto"/>
            </w:tcBorders>
          </w:tcPr>
          <w:p w14:paraId="60B25213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85.7 (48.7–97.4)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34039EE9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4/5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14:paraId="09F41BBA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sz w:val="20"/>
              </w:rPr>
              <w:t>80.0 (37.6–96.4)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74D86231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6/7</w:t>
            </w:r>
          </w:p>
        </w:tc>
        <w:tc>
          <w:tcPr>
            <w:tcW w:w="1927" w:type="dxa"/>
            <w:tcBorders>
              <w:bottom w:val="single" w:sz="12" w:space="0" w:color="auto"/>
            </w:tcBorders>
          </w:tcPr>
          <w:p w14:paraId="2C3BF7C6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85.7 (48.7–97.4)</w:t>
            </w: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139D3814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6/7</w:t>
            </w:r>
          </w:p>
        </w:tc>
        <w:tc>
          <w:tcPr>
            <w:tcW w:w="1927" w:type="dxa"/>
            <w:gridSpan w:val="3"/>
            <w:tcBorders>
              <w:bottom w:val="single" w:sz="12" w:space="0" w:color="auto"/>
            </w:tcBorders>
          </w:tcPr>
          <w:p w14:paraId="117D263E" w14:textId="77777777" w:rsidR="00724A0F" w:rsidRPr="006A0E5D" w:rsidRDefault="00724A0F" w:rsidP="0055433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0E5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85.7 (48.7–97.4)</w:t>
            </w:r>
          </w:p>
        </w:tc>
      </w:tr>
    </w:tbl>
    <w:p w14:paraId="32A40FEE" w14:textId="77777777" w:rsidR="00724A0F" w:rsidRPr="00B53839" w:rsidRDefault="00724A0F" w:rsidP="00724A0F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B53839">
        <w:rPr>
          <w:rFonts w:ascii="Times New Roman" w:hAnsi="Times New Roman" w:cs="Times New Roman"/>
          <w:sz w:val="20"/>
          <w:szCs w:val="24"/>
        </w:rPr>
        <w:t>LTBI, latent tuberculosis infection; TST, tuberculin skin test.</w:t>
      </w:r>
    </w:p>
    <w:p w14:paraId="5B03DBBA" w14:textId="6127FC1A" w:rsidR="00724A0F" w:rsidRPr="006A0E5D" w:rsidRDefault="00724A0F" w:rsidP="00724A0F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A72DC6">
        <w:rPr>
          <w:rFonts w:ascii="Times New Roman" w:hAnsi="Times New Roman" w:cs="Times New Roman"/>
          <w:sz w:val="20"/>
          <w:szCs w:val="24"/>
          <w:vertAlign w:val="superscript"/>
        </w:rPr>
        <w:t>a</w:t>
      </w:r>
      <w:r w:rsidR="0055433A">
        <w:rPr>
          <w:rFonts w:ascii="Times New Roman" w:hAnsi="Times New Roman" w:cs="Times New Roman"/>
          <w:sz w:val="20"/>
          <w:szCs w:val="24"/>
        </w:rPr>
        <w:t>Two</w:t>
      </w:r>
      <w:proofErr w:type="spellEnd"/>
      <w:r w:rsidR="0055433A">
        <w:rPr>
          <w:rFonts w:ascii="Times New Roman" w:hAnsi="Times New Roman" w:cs="Times New Roman"/>
          <w:sz w:val="20"/>
          <w:szCs w:val="24"/>
        </w:rPr>
        <w:t xml:space="preserve"> </w:t>
      </w:r>
      <w:r w:rsidRPr="00B53D0F">
        <w:rPr>
          <w:rFonts w:ascii="Times New Roman" w:hAnsi="Times New Roman" w:cs="Times New Roman"/>
          <w:sz w:val="20"/>
          <w:szCs w:val="24"/>
        </w:rPr>
        <w:t>QFT</w:t>
      </w:r>
      <w:r w:rsidRPr="00B53839">
        <w:rPr>
          <w:rFonts w:ascii="Times New Roman" w:hAnsi="Times New Roman" w:cs="Times New Roman"/>
          <w:sz w:val="20"/>
          <w:szCs w:val="24"/>
        </w:rPr>
        <w:t>-</w:t>
      </w:r>
      <w:proofErr w:type="spellStart"/>
      <w:r w:rsidRPr="00B53839">
        <w:rPr>
          <w:rFonts w:ascii="Times New Roman" w:hAnsi="Times New Roman" w:cs="Times New Roman"/>
          <w:sz w:val="20"/>
          <w:szCs w:val="24"/>
        </w:rPr>
        <w:t>GIT,and</w:t>
      </w:r>
      <w:proofErr w:type="spellEnd"/>
      <w:r w:rsidRPr="00B53839">
        <w:rPr>
          <w:rFonts w:ascii="Times New Roman" w:hAnsi="Times New Roman" w:cs="Times New Roman"/>
          <w:sz w:val="20"/>
          <w:szCs w:val="24"/>
        </w:rPr>
        <w:t xml:space="preserve"> </w:t>
      </w:r>
      <w:r w:rsidR="00031F86">
        <w:rPr>
          <w:rFonts w:ascii="Times New Roman" w:hAnsi="Times New Roman" w:cs="Times New Roman"/>
          <w:sz w:val="20"/>
          <w:szCs w:val="24"/>
        </w:rPr>
        <w:t xml:space="preserve">four </w:t>
      </w:r>
      <w:r w:rsidRPr="00B53839">
        <w:rPr>
          <w:rFonts w:ascii="Times New Roman" w:hAnsi="Times New Roman" w:cs="Times New Roman"/>
          <w:sz w:val="20"/>
          <w:szCs w:val="24"/>
        </w:rPr>
        <w:t xml:space="preserve">T-SPOT.TB and </w:t>
      </w:r>
      <w:r w:rsidR="00BF48D7">
        <w:rPr>
          <w:rFonts w:ascii="Times New Roman" w:hAnsi="Times New Roman" w:cs="Times New Roman"/>
          <w:sz w:val="20"/>
          <w:szCs w:val="24"/>
        </w:rPr>
        <w:t>second-generation</w:t>
      </w:r>
      <w:r w:rsidRPr="00B53839">
        <w:rPr>
          <w:rFonts w:ascii="Times New Roman" w:hAnsi="Times New Roman" w:cs="Times New Roman"/>
          <w:sz w:val="20"/>
          <w:szCs w:val="24"/>
        </w:rPr>
        <w:t xml:space="preserve"> IGRA results were missing due to blood draw difficulties, samples being unsuitable for testing, or samples being destroyed for laboratory reasons</w:t>
      </w:r>
      <w:r w:rsidRPr="006A0E5D">
        <w:rPr>
          <w:rFonts w:ascii="Times New Roman" w:hAnsi="Times New Roman" w:cs="Times New Roman"/>
          <w:sz w:val="20"/>
          <w:szCs w:val="24"/>
        </w:rPr>
        <w:t>. Missing results were spread across all diagnostic categories.</w:t>
      </w:r>
    </w:p>
    <w:p w14:paraId="3E11463D" w14:textId="6B3056A1" w:rsidR="00724A0F" w:rsidRPr="006A0E5D" w:rsidRDefault="0055433A" w:rsidP="00724A0F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A72DC6">
        <w:rPr>
          <w:rFonts w:ascii="Times New Roman" w:hAnsi="Times New Roman" w:cs="Times New Roman"/>
          <w:sz w:val="20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0"/>
          <w:szCs w:val="24"/>
        </w:rPr>
        <w:t>Two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724A0F">
        <w:rPr>
          <w:rFonts w:ascii="Times New Roman" w:hAnsi="Times New Roman" w:cs="Times New Roman"/>
          <w:sz w:val="20"/>
          <w:szCs w:val="24"/>
        </w:rPr>
        <w:t xml:space="preserve">diabetic patients had indeterminate T-SPOT.TB results, and </w:t>
      </w:r>
      <w:r>
        <w:rPr>
          <w:rFonts w:ascii="Times New Roman" w:hAnsi="Times New Roman" w:cs="Times New Roman"/>
          <w:sz w:val="20"/>
          <w:szCs w:val="24"/>
        </w:rPr>
        <w:t xml:space="preserve">four </w:t>
      </w:r>
      <w:r w:rsidR="00724A0F">
        <w:rPr>
          <w:rFonts w:ascii="Times New Roman" w:hAnsi="Times New Roman" w:cs="Times New Roman"/>
          <w:sz w:val="20"/>
          <w:szCs w:val="24"/>
        </w:rPr>
        <w:t xml:space="preserve">had indeterminate QFT-GIT results. </w:t>
      </w:r>
      <w:r w:rsidR="00724A0F" w:rsidRPr="006A0E5D">
        <w:rPr>
          <w:rFonts w:ascii="Times New Roman" w:hAnsi="Times New Roman" w:cs="Times New Roman"/>
          <w:sz w:val="20"/>
          <w:szCs w:val="24"/>
        </w:rPr>
        <w:t>Indeterminate and borderline IGRA results were excluded from analyses.</w:t>
      </w:r>
    </w:p>
    <w:p w14:paraId="37C05991" w14:textId="77777777" w:rsidR="00724A0F" w:rsidRPr="00957E32" w:rsidRDefault="00724A0F" w:rsidP="00724A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6938ED7C" w14:textId="77777777" w:rsidR="00724A0F" w:rsidRPr="00957E32" w:rsidRDefault="00724A0F" w:rsidP="00724A0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7FB97C5" w14:textId="286B00E2" w:rsidR="00212948" w:rsidRDefault="00212948"/>
    <w:p w14:paraId="2C0DB77E" w14:textId="2DC39CDA" w:rsidR="00C73455" w:rsidRDefault="00C73455"/>
    <w:p w14:paraId="44653395" w14:textId="7978B38B" w:rsidR="005D31F0" w:rsidRDefault="005D31F0"/>
    <w:p w14:paraId="268CC23A" w14:textId="0103DFC0" w:rsidR="005D31F0" w:rsidRDefault="005D31F0"/>
    <w:p w14:paraId="0CAB7077" w14:textId="2806430D" w:rsidR="005D31F0" w:rsidRDefault="005D31F0"/>
    <w:p w14:paraId="264E050D" w14:textId="6C8F1A09" w:rsidR="005D31F0" w:rsidRPr="007A726A" w:rsidRDefault="005D31F0" w:rsidP="005D31F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A726A">
        <w:rPr>
          <w:rFonts w:ascii="Times New Roman" w:hAnsi="Times New Roman" w:cs="Times New Roman"/>
          <w:b/>
          <w:bCs/>
          <w:sz w:val="20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b/>
          <w:bCs/>
          <w:sz w:val="20"/>
          <w:szCs w:val="24"/>
        </w:rPr>
        <w:t>8</w:t>
      </w:r>
      <w:r w:rsidRPr="007A726A">
        <w:rPr>
          <w:rFonts w:ascii="Times New Roman" w:hAnsi="Times New Roman" w:cs="Times New Roman"/>
          <w:b/>
          <w:bCs/>
          <w:sz w:val="20"/>
          <w:szCs w:val="24"/>
        </w:rPr>
        <w:t xml:space="preserve">: </w:t>
      </w:r>
      <w:r w:rsidR="00FA6E9B">
        <w:rPr>
          <w:rFonts w:ascii="Times New Roman" w:hAnsi="Times New Roman" w:cs="Times New Roman"/>
          <w:b/>
          <w:bCs/>
          <w:sz w:val="20"/>
          <w:szCs w:val="24"/>
        </w:rPr>
        <w:t>D</w:t>
      </w:r>
      <w:r w:rsidRPr="007A726A">
        <w:rPr>
          <w:rFonts w:ascii="Times New Roman" w:hAnsi="Times New Roman" w:cs="Times New Roman"/>
          <w:b/>
          <w:bCs/>
          <w:sz w:val="20"/>
          <w:szCs w:val="24"/>
        </w:rPr>
        <w:t xml:space="preserve">iagnostic accuracy of </w:t>
      </w:r>
      <w:r w:rsidR="00FA6E9B">
        <w:rPr>
          <w:rFonts w:ascii="Times New Roman" w:hAnsi="Times New Roman" w:cs="Times New Roman"/>
          <w:b/>
          <w:bCs/>
          <w:sz w:val="20"/>
          <w:szCs w:val="24"/>
        </w:rPr>
        <w:t>T-SPOT.TB</w:t>
      </w:r>
      <w:r w:rsidRPr="007A726A">
        <w:rPr>
          <w:rFonts w:ascii="Times New Roman" w:hAnsi="Times New Roman" w:cs="Times New Roman"/>
          <w:b/>
          <w:bCs/>
          <w:sz w:val="20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0"/>
          <w:szCs w:val="24"/>
        </w:rPr>
        <w:t>second-generation</w:t>
      </w:r>
      <w:r w:rsidRPr="007A726A">
        <w:rPr>
          <w:rFonts w:ascii="Times New Roman" w:hAnsi="Times New Roman" w:cs="Times New Roman"/>
          <w:b/>
          <w:bCs/>
          <w:sz w:val="20"/>
          <w:szCs w:val="24"/>
        </w:rPr>
        <w:t xml:space="preserve"> IGRAs for diagnosis of active TB </w:t>
      </w:r>
      <w:r w:rsidR="00FA6E9B">
        <w:rPr>
          <w:rFonts w:ascii="Times New Roman" w:hAnsi="Times New Roman" w:cs="Times New Roman"/>
          <w:b/>
          <w:bCs/>
          <w:sz w:val="20"/>
          <w:szCs w:val="24"/>
        </w:rPr>
        <w:t xml:space="preserve">using </w:t>
      </w:r>
      <w:r w:rsidR="00DA0013">
        <w:rPr>
          <w:rFonts w:ascii="Times New Roman" w:hAnsi="Times New Roman" w:cs="Times New Roman"/>
          <w:b/>
          <w:bCs/>
          <w:sz w:val="20"/>
          <w:szCs w:val="24"/>
        </w:rPr>
        <w:t>≥</w:t>
      </w:r>
      <w:r w:rsidR="00DA0013">
        <w:rPr>
          <w:rFonts w:ascii="Times New Roman" w:hAnsi="Times New Roman" w:cs="Times New Roman"/>
          <w:b/>
          <w:bCs/>
          <w:sz w:val="20"/>
          <w:szCs w:val="24"/>
        </w:rPr>
        <w:t>5 vs ≥8</w:t>
      </w:r>
      <w:r w:rsidR="00FA6E9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6E9B">
        <w:rPr>
          <w:rFonts w:ascii="Times New Roman" w:hAnsi="Times New Roman" w:cs="Times New Roman"/>
          <w:b/>
          <w:bCs/>
          <w:sz w:val="20"/>
          <w:szCs w:val="24"/>
        </w:rPr>
        <w:t>SFC</w:t>
      </w:r>
      <w:r w:rsidR="00DA0013">
        <w:rPr>
          <w:rFonts w:ascii="Times New Roman" w:hAnsi="Times New Roman" w:cs="Times New Roman"/>
          <w:b/>
          <w:bCs/>
          <w:sz w:val="20"/>
          <w:szCs w:val="24"/>
        </w:rPr>
        <w:t xml:space="preserve"> cut-off</w:t>
      </w:r>
      <w:r w:rsidR="00676F94">
        <w:rPr>
          <w:rFonts w:ascii="Times New Roman" w:hAnsi="Times New Roman" w:cs="Times New Roman"/>
          <w:b/>
          <w:bCs/>
          <w:sz w:val="20"/>
          <w:szCs w:val="24"/>
        </w:rPr>
        <w:t xml:space="preserve"> criteria for scoring positive results</w:t>
      </w:r>
      <w:r w:rsidRPr="007A726A">
        <w:rPr>
          <w:rFonts w:ascii="Times New Roman" w:hAnsi="Times New Roman" w:cs="Times New Roman"/>
          <w:b/>
          <w:bCs/>
          <w:sz w:val="20"/>
          <w:szCs w:val="24"/>
        </w:rPr>
        <w:t xml:space="preserve">. </w:t>
      </w:r>
      <w:r w:rsidRPr="007A726A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Sensitivity and specificity are presented as percentages</w:t>
      </w:r>
      <w:r w:rsidR="00FA6E9B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(95% CI)</w:t>
      </w:r>
      <w:r w:rsidRPr="007A726A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>.</w:t>
      </w:r>
    </w:p>
    <w:tbl>
      <w:tblPr>
        <w:tblStyle w:val="TableGrid4"/>
        <w:tblW w:w="12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1701"/>
        <w:gridCol w:w="1559"/>
        <w:gridCol w:w="1701"/>
        <w:gridCol w:w="1559"/>
        <w:gridCol w:w="1843"/>
      </w:tblGrid>
      <w:tr w:rsidR="006A10C0" w:rsidRPr="006A0E5D" w14:paraId="081171AB" w14:textId="77777777" w:rsidTr="00FA6E9B">
        <w:tc>
          <w:tcPr>
            <w:tcW w:w="2268" w:type="dxa"/>
            <w:vMerge w:val="restart"/>
            <w:tcBorders>
              <w:top w:val="single" w:sz="12" w:space="0" w:color="auto"/>
              <w:left w:val="nil"/>
            </w:tcBorders>
            <w:vAlign w:val="center"/>
            <w:hideMark/>
          </w:tcPr>
          <w:p w14:paraId="1A247956" w14:textId="77777777" w:rsidR="005D31F0" w:rsidRPr="006A0E5D" w:rsidRDefault="005D31F0" w:rsidP="006A10C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Test performance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  <w:hideMark/>
          </w:tcPr>
          <w:p w14:paraId="044F9D84" w14:textId="5C100EA5" w:rsidR="005D31F0" w:rsidRPr="006A0E5D" w:rsidRDefault="005D31F0" w:rsidP="00E734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T-SPOT.TB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170B5561" w14:textId="6F0EA67B" w:rsidR="005D31F0" w:rsidRPr="006A0E5D" w:rsidRDefault="005D31F0" w:rsidP="00E734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ESAT+ CFP10 + Rv3615c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8D71E77" w14:textId="2015B505" w:rsidR="005D31F0" w:rsidRPr="006A0E5D" w:rsidRDefault="005D31F0" w:rsidP="00E734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0E5D">
              <w:rPr>
                <w:rFonts w:ascii="Times New Roman" w:hAnsi="Times New Roman" w:cs="Times New Roman"/>
                <w:b/>
                <w:sz w:val="20"/>
                <w:szCs w:val="20"/>
              </w:rPr>
              <w:t>CFP10 + Rv3615c + Rv3879c</w:t>
            </w:r>
          </w:p>
        </w:tc>
      </w:tr>
      <w:tr w:rsidR="004474B3" w:rsidRPr="006A0E5D" w14:paraId="1942141E" w14:textId="77777777" w:rsidTr="00E73417">
        <w:tc>
          <w:tcPr>
            <w:tcW w:w="2268" w:type="dxa"/>
            <w:vMerge/>
            <w:tcBorders>
              <w:left w:val="nil"/>
              <w:bottom w:val="single" w:sz="4" w:space="0" w:color="auto"/>
            </w:tcBorders>
            <w:vAlign w:val="center"/>
            <w:hideMark/>
          </w:tcPr>
          <w:p w14:paraId="44F41F77" w14:textId="77777777" w:rsidR="001F3A62" w:rsidRPr="006A0E5D" w:rsidRDefault="001F3A62" w:rsidP="001F3A6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8A43BA" w14:textId="2FEAE74B" w:rsidR="00701173" w:rsidRDefault="001F3A62" w:rsidP="006A10C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Borderline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cluded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  <w:p w14:paraId="6467EA33" w14:textId="61B7E35D" w:rsidR="001F3A62" w:rsidRPr="006A0E5D" w:rsidRDefault="001F3A62" w:rsidP="00E7341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(cut-off ≥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7439D9" w14:textId="20DC1566" w:rsidR="001F3A62" w:rsidRPr="00E73417" w:rsidRDefault="001F3A62" w:rsidP="006A10C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Borderline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cluded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  <w:p w14:paraId="01909BCB" w14:textId="3632D723" w:rsidR="001F3A62" w:rsidRPr="006A0E5D" w:rsidRDefault="001F3A62" w:rsidP="006A10C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(cut-off ≥5)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66609" w14:textId="669A4CB0" w:rsidR="00701173" w:rsidRDefault="001F3A62" w:rsidP="006A10C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Borderline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excluded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  <w:p w14:paraId="2EDDE327" w14:textId="487CD6FA" w:rsidR="001F3A62" w:rsidRPr="006A0E5D" w:rsidRDefault="001F3A62" w:rsidP="006A10C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(cut-off ≥8)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1186A8" w14:textId="77777777" w:rsidR="001F3A62" w:rsidRPr="00520563" w:rsidRDefault="001F3A62" w:rsidP="006A10C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Borderline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included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  <w:p w14:paraId="116012A5" w14:textId="7B67A97A" w:rsidR="001F3A62" w:rsidRPr="006A0E5D" w:rsidRDefault="001F3A62" w:rsidP="006A10C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(cut-off ≥5)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9936E" w14:textId="785002E4" w:rsidR="00701173" w:rsidRDefault="001F3A62" w:rsidP="006A10C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Borderline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excluded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a</w:t>
            </w:r>
            <w:proofErr w:type="spellEnd"/>
          </w:p>
          <w:p w14:paraId="2DB7FA01" w14:textId="308BEF5F" w:rsidR="001F3A62" w:rsidRPr="006A0E5D" w:rsidRDefault="00701173" w:rsidP="006A10C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F3A62">
              <w:rPr>
                <w:rFonts w:ascii="Times New Roman" w:hAnsi="Times New Roman" w:cs="Times New Roman"/>
                <w:b/>
                <w:sz w:val="20"/>
                <w:szCs w:val="20"/>
              </w:rPr>
              <w:t>cut-off ≥8)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A40B9" w14:textId="77777777" w:rsidR="001F3A62" w:rsidRPr="00520563" w:rsidRDefault="001F3A62" w:rsidP="006A10C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Borderline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included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b</w:t>
            </w:r>
            <w:proofErr w:type="spellEnd"/>
          </w:p>
          <w:p w14:paraId="05FEC116" w14:textId="0151AC76" w:rsidR="001F3A62" w:rsidRPr="006A0E5D" w:rsidRDefault="001F3A62" w:rsidP="006A10C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(cut-off ≥5)</w:t>
            </w:r>
          </w:p>
        </w:tc>
      </w:tr>
      <w:tr w:rsidR="004474B3" w:rsidRPr="00E73417" w14:paraId="2C38918B" w14:textId="77777777" w:rsidTr="00E73417">
        <w:tc>
          <w:tcPr>
            <w:tcW w:w="2268" w:type="dxa"/>
            <w:tcBorders>
              <w:top w:val="single" w:sz="4" w:space="0" w:color="auto"/>
              <w:left w:val="nil"/>
              <w:bottom w:val="nil"/>
            </w:tcBorders>
            <w:hideMark/>
          </w:tcPr>
          <w:p w14:paraId="170A77B0" w14:textId="72D52739" w:rsidR="00101111" w:rsidRPr="00E73417" w:rsidRDefault="00101111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A10C0">
              <w:rPr>
                <w:rFonts w:ascii="Times New Roman" w:hAnsi="Times New Roman" w:cs="Times New Roman"/>
                <w:sz w:val="20"/>
                <w:szCs w:val="20"/>
              </w:rPr>
              <w:t xml:space="preserve">Sensitivity for </w:t>
            </w:r>
            <w:r w:rsidRPr="006A10C0">
              <w:rPr>
                <w:rFonts w:ascii="Times New Roman" w:hAnsi="Times New Roman" w:cs="Times New Roman"/>
                <w:sz w:val="20"/>
                <w:szCs w:val="20"/>
              </w:rPr>
              <w:t>activ</w:t>
            </w:r>
            <w:r w:rsidRPr="006A10C0">
              <w:rPr>
                <w:rFonts w:ascii="Times New Roman" w:hAnsi="Times New Roman" w:cs="Times New Roman"/>
                <w:sz w:val="20"/>
                <w:szCs w:val="20"/>
              </w:rPr>
              <w:t>e TB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079E604A" w14:textId="77777777" w:rsidR="00101111" w:rsidRPr="006A10C0" w:rsidRDefault="00101111" w:rsidP="0010111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61E09B55" w14:textId="77777777" w:rsidR="00101111" w:rsidRPr="006A10C0" w:rsidRDefault="00101111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29362ECF" w14:textId="77777777" w:rsidR="00101111" w:rsidRPr="006A10C0" w:rsidRDefault="00101111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1EAE90E2" w14:textId="77777777" w:rsidR="00101111" w:rsidRPr="006A10C0" w:rsidRDefault="00101111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29F8E97C" w14:textId="77777777" w:rsidR="00101111" w:rsidRPr="006A10C0" w:rsidRDefault="00101111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4D21FECB" w14:textId="77777777" w:rsidR="00101111" w:rsidRPr="006A10C0" w:rsidRDefault="00101111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E9B" w:rsidRPr="006A10C0" w14:paraId="0E2FFA3D" w14:textId="77777777" w:rsidTr="00FA6E9B">
        <w:trPr>
          <w:trHeight w:val="57"/>
        </w:trPr>
        <w:tc>
          <w:tcPr>
            <w:tcW w:w="2268" w:type="dxa"/>
            <w:hideMark/>
          </w:tcPr>
          <w:p w14:paraId="113450EC" w14:textId="77777777" w:rsidR="00101111" w:rsidRPr="006A10C0" w:rsidRDefault="00101111" w:rsidP="00101111">
            <w:pPr>
              <w:spacing w:line="36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10C0">
              <w:rPr>
                <w:rFonts w:ascii="Times New Roman" w:hAnsi="Times New Roman" w:cs="Times New Roman"/>
                <w:sz w:val="20"/>
                <w:szCs w:val="20"/>
              </w:rPr>
              <w:t>All TB</w:t>
            </w:r>
          </w:p>
        </w:tc>
        <w:tc>
          <w:tcPr>
            <w:tcW w:w="1560" w:type="dxa"/>
          </w:tcPr>
          <w:p w14:paraId="1F1135E5" w14:textId="383C8658" w:rsidR="00101111" w:rsidRPr="006A10C0" w:rsidRDefault="00101111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0C0">
              <w:rPr>
                <w:rFonts w:ascii="Times New Roman" w:hAnsi="Times New Roman" w:cs="Times New Roman"/>
                <w:sz w:val="20"/>
                <w:szCs w:val="20"/>
              </w:rPr>
              <w:t>81.4</w:t>
            </w:r>
            <w:r w:rsidR="00701173" w:rsidRPr="006A10C0">
              <w:rPr>
                <w:rFonts w:ascii="Times New Roman" w:hAnsi="Times New Roman" w:cs="Times New Roman"/>
                <w:sz w:val="20"/>
                <w:szCs w:val="20"/>
              </w:rPr>
              <w:t xml:space="preserve"> (76.6–85.3)</w:t>
            </w:r>
          </w:p>
        </w:tc>
        <w:tc>
          <w:tcPr>
            <w:tcW w:w="1701" w:type="dxa"/>
          </w:tcPr>
          <w:p w14:paraId="724D4298" w14:textId="2AEA034B" w:rsidR="00101111" w:rsidRPr="006A10C0" w:rsidRDefault="0070117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17">
              <w:rPr>
                <w:rFonts w:ascii="Times New Roman" w:hAnsi="Times New Roman" w:cs="Times New Roman"/>
                <w:sz w:val="20"/>
                <w:szCs w:val="20"/>
              </w:rPr>
              <w:t>82.3 (77.8–86.1)</w:t>
            </w:r>
          </w:p>
        </w:tc>
        <w:tc>
          <w:tcPr>
            <w:tcW w:w="1559" w:type="dxa"/>
          </w:tcPr>
          <w:p w14:paraId="58D8377F" w14:textId="0503C156" w:rsidR="00101111" w:rsidRPr="006A10C0" w:rsidRDefault="0070117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10C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89.2 (85.2–92.2)</w:t>
            </w:r>
          </w:p>
        </w:tc>
        <w:tc>
          <w:tcPr>
            <w:tcW w:w="1701" w:type="dxa"/>
          </w:tcPr>
          <w:p w14:paraId="79D5E810" w14:textId="265B8523" w:rsidR="00101111" w:rsidRPr="006A10C0" w:rsidRDefault="0070117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hAnsi="Times New Roman" w:cs="Times New Roman"/>
                <w:sz w:val="20"/>
                <w:szCs w:val="20"/>
              </w:rPr>
              <w:t>89.9 (86.2–92.7)</w:t>
            </w:r>
          </w:p>
        </w:tc>
        <w:tc>
          <w:tcPr>
            <w:tcW w:w="1559" w:type="dxa"/>
          </w:tcPr>
          <w:p w14:paraId="1E34A15B" w14:textId="3F0F574A" w:rsidR="00101111" w:rsidRPr="006A10C0" w:rsidRDefault="0070117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10C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88.0 (83.8–91.2)</w:t>
            </w:r>
          </w:p>
        </w:tc>
        <w:tc>
          <w:tcPr>
            <w:tcW w:w="1843" w:type="dxa"/>
          </w:tcPr>
          <w:p w14:paraId="641ED721" w14:textId="61F730B7" w:rsidR="00101111" w:rsidRPr="006A10C0" w:rsidRDefault="0070117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hAnsi="Times New Roman" w:cs="Times New Roman"/>
                <w:sz w:val="20"/>
                <w:szCs w:val="20"/>
              </w:rPr>
              <w:t>89.0 (85.1–91.9)</w:t>
            </w:r>
          </w:p>
        </w:tc>
      </w:tr>
      <w:tr w:rsidR="004474B3" w:rsidRPr="00E73417" w14:paraId="69374061" w14:textId="77777777" w:rsidTr="00E73417">
        <w:trPr>
          <w:trHeight w:val="242"/>
        </w:trPr>
        <w:tc>
          <w:tcPr>
            <w:tcW w:w="2268" w:type="dxa"/>
            <w:hideMark/>
          </w:tcPr>
          <w:p w14:paraId="619FA331" w14:textId="1D5B8BD4" w:rsidR="00101111" w:rsidRPr="006A10C0" w:rsidRDefault="00101111" w:rsidP="00101111">
            <w:pPr>
              <w:spacing w:line="36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A10C0">
              <w:rPr>
                <w:rFonts w:ascii="Times New Roman" w:hAnsi="Times New Roman" w:cs="Times New Roman"/>
                <w:sz w:val="20"/>
                <w:szCs w:val="20"/>
              </w:rPr>
              <w:t>Culture-confirmed TB</w:t>
            </w:r>
          </w:p>
        </w:tc>
        <w:tc>
          <w:tcPr>
            <w:tcW w:w="1560" w:type="dxa"/>
          </w:tcPr>
          <w:p w14:paraId="44446F02" w14:textId="1DA2B581" w:rsidR="00101111" w:rsidRPr="006A10C0" w:rsidRDefault="0070117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0C0">
              <w:rPr>
                <w:rFonts w:ascii="Times New Roman" w:hAnsi="Times New Roman" w:cs="Times New Roman"/>
                <w:sz w:val="20"/>
                <w:szCs w:val="20"/>
              </w:rPr>
              <w:t>84.9 (79.5–89.0)</w:t>
            </w:r>
          </w:p>
        </w:tc>
        <w:tc>
          <w:tcPr>
            <w:tcW w:w="1701" w:type="dxa"/>
          </w:tcPr>
          <w:p w14:paraId="10638243" w14:textId="4EA032A8" w:rsidR="00101111" w:rsidRPr="006A10C0" w:rsidRDefault="0070117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17">
              <w:rPr>
                <w:rFonts w:ascii="Times New Roman" w:hAnsi="Times New Roman" w:cs="Times New Roman"/>
                <w:sz w:val="20"/>
                <w:szCs w:val="20"/>
              </w:rPr>
              <w:t>85.9 (80.9–89.8)</w:t>
            </w:r>
          </w:p>
        </w:tc>
        <w:tc>
          <w:tcPr>
            <w:tcW w:w="1559" w:type="dxa"/>
          </w:tcPr>
          <w:p w14:paraId="5C2F3AF4" w14:textId="7252DE1D" w:rsidR="00101111" w:rsidRPr="006A10C0" w:rsidRDefault="0070117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10C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94.0 (90.0–96.4)</w:t>
            </w:r>
          </w:p>
        </w:tc>
        <w:tc>
          <w:tcPr>
            <w:tcW w:w="1701" w:type="dxa"/>
          </w:tcPr>
          <w:p w14:paraId="1AF57BE2" w14:textId="40592665" w:rsidR="00101111" w:rsidRPr="006A10C0" w:rsidRDefault="0070117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hAnsi="Times New Roman" w:cs="Times New Roman"/>
                <w:sz w:val="20"/>
                <w:szCs w:val="20"/>
              </w:rPr>
              <w:t>94.4 (90.7–96.7)</w:t>
            </w:r>
          </w:p>
        </w:tc>
        <w:tc>
          <w:tcPr>
            <w:tcW w:w="1559" w:type="dxa"/>
          </w:tcPr>
          <w:p w14:paraId="569E4D64" w14:textId="183266EB" w:rsidR="00101111" w:rsidRPr="006A10C0" w:rsidRDefault="0070117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10C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93.4 (89.2–96.0)</w:t>
            </w:r>
          </w:p>
        </w:tc>
        <w:tc>
          <w:tcPr>
            <w:tcW w:w="1843" w:type="dxa"/>
          </w:tcPr>
          <w:p w14:paraId="120BC953" w14:textId="5D639E54" w:rsidR="00101111" w:rsidRPr="006A10C0" w:rsidRDefault="004474B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hAnsi="Times New Roman" w:cs="Times New Roman"/>
                <w:sz w:val="20"/>
                <w:szCs w:val="20"/>
              </w:rPr>
              <w:t>94.0 (90.2–96.4)</w:t>
            </w:r>
          </w:p>
        </w:tc>
      </w:tr>
      <w:tr w:rsidR="00701173" w:rsidRPr="00E73417" w14:paraId="27999F4D" w14:textId="77777777" w:rsidTr="00E73417">
        <w:tc>
          <w:tcPr>
            <w:tcW w:w="2268" w:type="dxa"/>
            <w:tcBorders>
              <w:bottom w:val="single" w:sz="12" w:space="0" w:color="auto"/>
            </w:tcBorders>
            <w:hideMark/>
          </w:tcPr>
          <w:p w14:paraId="07ADB12B" w14:textId="764EA3D9" w:rsidR="00101111" w:rsidRPr="006A10C0" w:rsidRDefault="00101111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0C0">
              <w:rPr>
                <w:rFonts w:ascii="Times New Roman" w:hAnsi="Times New Roman" w:cs="Times New Roman"/>
                <w:sz w:val="20"/>
                <w:szCs w:val="20"/>
              </w:rPr>
              <w:t>Specificity for active TB</w:t>
            </w:r>
            <w:r w:rsidRPr="006A10C0">
              <w:rPr>
                <w:rFonts w:ascii="Times New Roman" w:hAnsi="Times New Roman" w:cs="Times New Roman"/>
                <w:sz w:val="20"/>
                <w:szCs w:val="20"/>
              </w:rPr>
              <w:t xml:space="preserve"> excluded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2D726FA0" w14:textId="1F07EC8D" w:rsidR="00101111" w:rsidRPr="006A10C0" w:rsidRDefault="0070117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10C0">
              <w:rPr>
                <w:rFonts w:ascii="Times New Roman" w:hAnsi="Times New Roman" w:cs="Times New Roman"/>
                <w:sz w:val="20"/>
                <w:szCs w:val="20"/>
              </w:rPr>
              <w:t>86.2 (82.3–89.4)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A311F06" w14:textId="04E55EDB" w:rsidR="00101111" w:rsidRPr="006A10C0" w:rsidRDefault="0070117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3417">
              <w:rPr>
                <w:rFonts w:ascii="Times New Roman" w:hAnsi="Times New Roman" w:cs="Times New Roman"/>
                <w:sz w:val="20"/>
                <w:szCs w:val="20"/>
              </w:rPr>
              <w:t>82.6 (78.6–86.1)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38FC0EF" w14:textId="33534AEF" w:rsidR="00101111" w:rsidRPr="006A10C0" w:rsidRDefault="0070117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10C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80.0 (75.6–83.8)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CE95264" w14:textId="0A74E27E" w:rsidR="00101111" w:rsidRPr="006A10C0" w:rsidRDefault="0070117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hAnsi="Times New Roman" w:cs="Times New Roman"/>
                <w:sz w:val="20"/>
                <w:szCs w:val="20"/>
              </w:rPr>
              <w:t>76.5 (72.0–80.4)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E0A7754" w14:textId="6776EC07" w:rsidR="00101111" w:rsidRPr="006A10C0" w:rsidRDefault="0070117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6A10C0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79.6 (75.2–83.4)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290C9C7" w14:textId="5B7B05D4" w:rsidR="00101111" w:rsidRPr="006A10C0" w:rsidRDefault="004474B3" w:rsidP="0010111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E73417">
              <w:rPr>
                <w:rFonts w:ascii="Times New Roman" w:hAnsi="Times New Roman" w:cs="Times New Roman"/>
                <w:sz w:val="20"/>
                <w:szCs w:val="20"/>
              </w:rPr>
              <w:t>76.3 (71.8–80.3)</w:t>
            </w:r>
          </w:p>
        </w:tc>
      </w:tr>
    </w:tbl>
    <w:p w14:paraId="087D3BA3" w14:textId="5CBFACAA" w:rsidR="005D31F0" w:rsidRPr="00E73417" w:rsidRDefault="001F3A62" w:rsidP="00E73417">
      <w:pPr>
        <w:spacing w:after="0" w:line="360" w:lineRule="auto"/>
        <w:rPr>
          <w:rFonts w:ascii="Times New Roman" w:hAnsi="Times New Roman" w:cs="Times New Roman"/>
          <w:sz w:val="20"/>
        </w:rPr>
      </w:pPr>
      <w:proofErr w:type="spellStart"/>
      <w:r w:rsidRPr="00E73417">
        <w:rPr>
          <w:rFonts w:ascii="Times New Roman" w:hAnsi="Times New Roman" w:cs="Times New Roman"/>
          <w:sz w:val="20"/>
          <w:vertAlign w:val="superscript"/>
        </w:rPr>
        <w:t>a</w:t>
      </w:r>
      <w:r w:rsidRPr="00E73417">
        <w:rPr>
          <w:rFonts w:ascii="Times New Roman" w:hAnsi="Times New Roman" w:cs="Times New Roman"/>
          <w:sz w:val="20"/>
        </w:rPr>
        <w:t>Analyses</w:t>
      </w:r>
      <w:proofErr w:type="spellEnd"/>
      <w:r w:rsidRPr="00E73417">
        <w:rPr>
          <w:rFonts w:ascii="Times New Roman" w:hAnsi="Times New Roman" w:cs="Times New Roman"/>
          <w:sz w:val="20"/>
        </w:rPr>
        <w:t xml:space="preserve"> </w:t>
      </w:r>
      <w:r w:rsidRPr="00E73417">
        <w:rPr>
          <w:rFonts w:ascii="Times New Roman" w:hAnsi="Times New Roman" w:cs="Times New Roman"/>
          <w:i/>
          <w:sz w:val="20"/>
        </w:rPr>
        <w:t>exclude</w:t>
      </w:r>
      <w:r w:rsidRPr="00E73417">
        <w:rPr>
          <w:rFonts w:ascii="Times New Roman" w:hAnsi="Times New Roman" w:cs="Times New Roman"/>
          <w:sz w:val="20"/>
        </w:rPr>
        <w:t xml:space="preserve"> borderline IGRA </w:t>
      </w:r>
      <w:r w:rsidRPr="00E73417">
        <w:rPr>
          <w:rFonts w:ascii="Times New Roman" w:hAnsi="Times New Roman" w:cs="Times New Roman"/>
          <w:sz w:val="20"/>
        </w:rPr>
        <w:t xml:space="preserve">results, </w:t>
      </w:r>
      <w:r w:rsidRPr="00E73417">
        <w:rPr>
          <w:rFonts w:ascii="Times New Roman" w:hAnsi="Times New Roman" w:cs="Times New Roman"/>
          <w:sz w:val="20"/>
        </w:rPr>
        <w:t xml:space="preserve">giving a cut-off </w:t>
      </w:r>
      <w:r w:rsidRPr="00E73417">
        <w:rPr>
          <w:rFonts w:ascii="Times New Roman" w:hAnsi="Times New Roman" w:cs="Times New Roman"/>
          <w:sz w:val="20"/>
        </w:rPr>
        <w:t xml:space="preserve">for a positive test result </w:t>
      </w:r>
      <w:r w:rsidRPr="00E73417">
        <w:rPr>
          <w:rFonts w:ascii="Times New Roman" w:hAnsi="Times New Roman" w:cs="Times New Roman"/>
          <w:sz w:val="20"/>
        </w:rPr>
        <w:t xml:space="preserve">of </w:t>
      </w:r>
      <w:r w:rsidR="00701173" w:rsidRPr="00E73417">
        <w:rPr>
          <w:rFonts w:ascii="Times New Roman" w:hAnsi="Times New Roman" w:cs="Times New Roman"/>
          <w:i/>
          <w:sz w:val="20"/>
        </w:rPr>
        <w:t>≥</w:t>
      </w:r>
      <w:r w:rsidRPr="00E73417">
        <w:rPr>
          <w:rFonts w:ascii="Times New Roman" w:hAnsi="Times New Roman" w:cs="Times New Roman"/>
          <w:i/>
          <w:sz w:val="20"/>
        </w:rPr>
        <w:t xml:space="preserve">8 </w:t>
      </w:r>
      <w:r w:rsidRPr="00E73417">
        <w:rPr>
          <w:rFonts w:ascii="Times New Roman" w:hAnsi="Times New Roman" w:cs="Times New Roman"/>
          <w:sz w:val="20"/>
        </w:rPr>
        <w:t xml:space="preserve">SFCs after subtraction of negative control. </w:t>
      </w:r>
    </w:p>
    <w:p w14:paraId="32C48C57" w14:textId="16707FBC" w:rsidR="001F3A62" w:rsidRPr="00E73417" w:rsidRDefault="001F3A62" w:rsidP="00E73417">
      <w:pPr>
        <w:spacing w:after="0" w:line="360" w:lineRule="auto"/>
        <w:rPr>
          <w:rFonts w:ascii="Times New Roman" w:hAnsi="Times New Roman" w:cs="Times New Roman"/>
          <w:sz w:val="20"/>
        </w:rPr>
      </w:pPr>
      <w:proofErr w:type="spellStart"/>
      <w:r w:rsidRPr="00E73417">
        <w:rPr>
          <w:rFonts w:ascii="Times New Roman" w:hAnsi="Times New Roman" w:cs="Times New Roman"/>
          <w:sz w:val="20"/>
          <w:vertAlign w:val="superscript"/>
        </w:rPr>
        <w:t>b</w:t>
      </w:r>
      <w:r w:rsidRPr="00E73417">
        <w:rPr>
          <w:rFonts w:ascii="Times New Roman" w:hAnsi="Times New Roman" w:cs="Times New Roman"/>
          <w:sz w:val="20"/>
        </w:rPr>
        <w:t>Analyses</w:t>
      </w:r>
      <w:proofErr w:type="spellEnd"/>
      <w:r w:rsidRPr="00E73417">
        <w:rPr>
          <w:rFonts w:ascii="Times New Roman" w:hAnsi="Times New Roman" w:cs="Times New Roman"/>
          <w:sz w:val="20"/>
        </w:rPr>
        <w:t xml:space="preserve"> </w:t>
      </w:r>
      <w:r w:rsidRPr="00E73417">
        <w:rPr>
          <w:rFonts w:ascii="Times New Roman" w:hAnsi="Times New Roman" w:cs="Times New Roman"/>
          <w:i/>
          <w:sz w:val="20"/>
        </w:rPr>
        <w:t>in</w:t>
      </w:r>
      <w:r w:rsidRPr="00E73417">
        <w:rPr>
          <w:rFonts w:ascii="Times New Roman" w:hAnsi="Times New Roman" w:cs="Times New Roman"/>
          <w:i/>
          <w:sz w:val="20"/>
        </w:rPr>
        <w:t>clude</w:t>
      </w:r>
      <w:r w:rsidRPr="00E73417">
        <w:rPr>
          <w:rFonts w:ascii="Times New Roman" w:hAnsi="Times New Roman" w:cs="Times New Roman"/>
          <w:sz w:val="20"/>
        </w:rPr>
        <w:t xml:space="preserve"> borderline IGRA results, giving a cut-off for a positive test result of </w:t>
      </w:r>
      <w:r w:rsidR="00701173" w:rsidRPr="00E73417">
        <w:rPr>
          <w:rFonts w:ascii="Times New Roman" w:hAnsi="Times New Roman" w:cs="Times New Roman"/>
          <w:i/>
          <w:sz w:val="20"/>
        </w:rPr>
        <w:t>≥5</w:t>
      </w:r>
      <w:r w:rsidRPr="00E73417">
        <w:rPr>
          <w:rFonts w:ascii="Times New Roman" w:hAnsi="Times New Roman" w:cs="Times New Roman"/>
          <w:i/>
          <w:sz w:val="20"/>
        </w:rPr>
        <w:t xml:space="preserve"> </w:t>
      </w:r>
      <w:r w:rsidRPr="00E73417">
        <w:rPr>
          <w:rFonts w:ascii="Times New Roman" w:hAnsi="Times New Roman" w:cs="Times New Roman"/>
          <w:sz w:val="20"/>
        </w:rPr>
        <w:t xml:space="preserve">SFCs after subtraction of negative control. </w:t>
      </w:r>
    </w:p>
    <w:p w14:paraId="6F547886" w14:textId="76E0DB59" w:rsidR="005D31F0" w:rsidRPr="00E73417" w:rsidRDefault="005D31F0">
      <w:pPr>
        <w:rPr>
          <w:rFonts w:ascii="Times New Roman" w:hAnsi="Times New Roman" w:cs="Times New Roman"/>
          <w:i/>
          <w:sz w:val="20"/>
        </w:rPr>
      </w:pPr>
    </w:p>
    <w:p w14:paraId="2B4BE995" w14:textId="1A4CC389" w:rsidR="00701173" w:rsidRPr="00E73417" w:rsidRDefault="00701173">
      <w:pPr>
        <w:rPr>
          <w:rFonts w:ascii="Times New Roman" w:hAnsi="Times New Roman" w:cs="Times New Roman"/>
          <w:i/>
          <w:sz w:val="20"/>
        </w:rPr>
      </w:pPr>
    </w:p>
    <w:p w14:paraId="0DF62069" w14:textId="3646141E" w:rsidR="00701173" w:rsidRPr="00E73417" w:rsidRDefault="00701173">
      <w:pPr>
        <w:rPr>
          <w:rFonts w:ascii="Times New Roman" w:hAnsi="Times New Roman" w:cs="Times New Roman"/>
          <w:i/>
          <w:sz w:val="20"/>
        </w:rPr>
      </w:pPr>
    </w:p>
    <w:p w14:paraId="397E90AD" w14:textId="7A69C386" w:rsidR="00701173" w:rsidRPr="00E73417" w:rsidRDefault="00701173">
      <w:pPr>
        <w:rPr>
          <w:rFonts w:ascii="Times New Roman" w:hAnsi="Times New Roman" w:cs="Times New Roman"/>
          <w:i/>
          <w:sz w:val="20"/>
        </w:rPr>
      </w:pPr>
    </w:p>
    <w:p w14:paraId="467EEE6E" w14:textId="2442E365" w:rsidR="00FA6E9B" w:rsidRDefault="00FA6E9B">
      <w:pPr>
        <w:rPr>
          <w:rFonts w:ascii="Times New Roman" w:hAnsi="Times New Roman" w:cs="Times New Roman"/>
          <w:i/>
          <w:sz w:val="20"/>
        </w:rPr>
      </w:pPr>
    </w:p>
    <w:p w14:paraId="351A60CD" w14:textId="77777777" w:rsidR="00F16F86" w:rsidRPr="00E73417" w:rsidRDefault="00F16F86">
      <w:pPr>
        <w:rPr>
          <w:rFonts w:ascii="Times New Roman" w:hAnsi="Times New Roman" w:cs="Times New Roman"/>
          <w:i/>
          <w:sz w:val="20"/>
        </w:rPr>
      </w:pPr>
    </w:p>
    <w:p w14:paraId="709C8B78" w14:textId="409F77CD" w:rsidR="00FA6E9B" w:rsidRPr="00E73417" w:rsidRDefault="00FA6E9B">
      <w:pPr>
        <w:rPr>
          <w:rFonts w:ascii="Times New Roman" w:hAnsi="Times New Roman" w:cs="Times New Roman"/>
          <w:i/>
          <w:sz w:val="20"/>
        </w:rPr>
      </w:pPr>
    </w:p>
    <w:p w14:paraId="40C3BB08" w14:textId="77777777" w:rsidR="00FA6E9B" w:rsidRPr="00E73417" w:rsidRDefault="00FA6E9B">
      <w:pPr>
        <w:rPr>
          <w:rFonts w:ascii="Times New Roman" w:hAnsi="Times New Roman" w:cs="Times New Roman"/>
          <w:i/>
          <w:sz w:val="20"/>
        </w:rPr>
      </w:pPr>
    </w:p>
    <w:p w14:paraId="3BAF8DDF" w14:textId="77777777" w:rsidR="00701173" w:rsidRPr="00E73417" w:rsidRDefault="00701173">
      <w:pPr>
        <w:rPr>
          <w:rFonts w:ascii="Times New Roman" w:hAnsi="Times New Roman" w:cs="Times New Roman"/>
          <w:i/>
          <w:sz w:val="20"/>
        </w:rPr>
      </w:pPr>
    </w:p>
    <w:p w14:paraId="2AED44AE" w14:textId="77777777" w:rsidR="005D31F0" w:rsidRPr="00E73417" w:rsidRDefault="005D31F0">
      <w:pPr>
        <w:rPr>
          <w:rFonts w:ascii="Times New Roman" w:hAnsi="Times New Roman" w:cs="Times New Roman"/>
          <w:i/>
          <w:sz w:val="20"/>
        </w:rPr>
      </w:pPr>
    </w:p>
    <w:p w14:paraId="436ABB6A" w14:textId="5BA8DD01" w:rsidR="00E877F8" w:rsidRPr="00E73417" w:rsidRDefault="00C73455">
      <w:pPr>
        <w:rPr>
          <w:rFonts w:ascii="Times New Roman" w:hAnsi="Times New Roman" w:cs="Times New Roman"/>
          <w:i/>
          <w:sz w:val="20"/>
        </w:rPr>
      </w:pPr>
      <w:r w:rsidRPr="00E73417">
        <w:rPr>
          <w:rFonts w:ascii="Times New Roman" w:hAnsi="Times New Roman" w:cs="Times New Roman"/>
          <w:i/>
          <w:sz w:val="20"/>
        </w:rPr>
        <w:t xml:space="preserve">NB: References </w:t>
      </w:r>
      <w:r w:rsidR="003642D0" w:rsidRPr="00E73417">
        <w:rPr>
          <w:rFonts w:ascii="Times New Roman" w:hAnsi="Times New Roman" w:cs="Times New Roman"/>
          <w:i/>
          <w:sz w:val="20"/>
        </w:rPr>
        <w:t>referred to</w:t>
      </w:r>
      <w:r w:rsidRPr="00E73417">
        <w:rPr>
          <w:rFonts w:ascii="Times New Roman" w:hAnsi="Times New Roman" w:cs="Times New Roman"/>
          <w:i/>
          <w:sz w:val="20"/>
        </w:rPr>
        <w:t xml:space="preserve"> in th</w:t>
      </w:r>
      <w:r w:rsidR="003642D0" w:rsidRPr="00E73417">
        <w:rPr>
          <w:rFonts w:ascii="Times New Roman" w:hAnsi="Times New Roman" w:cs="Times New Roman"/>
          <w:i/>
          <w:sz w:val="20"/>
        </w:rPr>
        <w:t>e</w:t>
      </w:r>
      <w:r w:rsidRPr="00E73417">
        <w:rPr>
          <w:rFonts w:ascii="Times New Roman" w:hAnsi="Times New Roman" w:cs="Times New Roman"/>
          <w:i/>
          <w:sz w:val="20"/>
        </w:rPr>
        <w:t>s</w:t>
      </w:r>
      <w:r w:rsidR="003642D0" w:rsidRPr="00E73417">
        <w:rPr>
          <w:rFonts w:ascii="Times New Roman" w:hAnsi="Times New Roman" w:cs="Times New Roman"/>
          <w:i/>
          <w:sz w:val="20"/>
        </w:rPr>
        <w:t>e</w:t>
      </w:r>
      <w:r w:rsidRPr="00E73417">
        <w:rPr>
          <w:rFonts w:ascii="Times New Roman" w:hAnsi="Times New Roman" w:cs="Times New Roman"/>
          <w:i/>
          <w:sz w:val="20"/>
        </w:rPr>
        <w:t xml:space="preserve"> Supplementary Material</w:t>
      </w:r>
      <w:r w:rsidR="003642D0" w:rsidRPr="00E73417">
        <w:rPr>
          <w:rFonts w:ascii="Times New Roman" w:hAnsi="Times New Roman" w:cs="Times New Roman"/>
          <w:i/>
          <w:sz w:val="20"/>
        </w:rPr>
        <w:t>s</w:t>
      </w:r>
      <w:r w:rsidRPr="00E73417">
        <w:rPr>
          <w:rFonts w:ascii="Times New Roman" w:hAnsi="Times New Roman" w:cs="Times New Roman"/>
          <w:i/>
          <w:sz w:val="20"/>
        </w:rPr>
        <w:t xml:space="preserve"> </w:t>
      </w:r>
      <w:r w:rsidRPr="00E73417">
        <w:rPr>
          <w:rFonts w:ascii="Times New Roman" w:hAnsi="Times New Roman" w:cs="Times New Roman"/>
          <w:i/>
          <w:sz w:val="20"/>
        </w:rPr>
        <w:t>are listed in the References section of the primary manuscript.</w:t>
      </w:r>
      <w:r w:rsidRPr="00E73417">
        <w:rPr>
          <w:rFonts w:ascii="Times New Roman" w:hAnsi="Times New Roman" w:cs="Times New Roman"/>
          <w:i/>
          <w:sz w:val="20"/>
        </w:rPr>
        <w:t xml:space="preserve"> </w:t>
      </w:r>
    </w:p>
    <w:sectPr w:rsidR="00E877F8" w:rsidRPr="00E73417" w:rsidSect="0055433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8E9E3" w14:textId="77777777" w:rsidR="001B38B7" w:rsidRDefault="001B38B7" w:rsidP="00724A0F">
      <w:pPr>
        <w:spacing w:after="0" w:line="240" w:lineRule="auto"/>
      </w:pPr>
      <w:r>
        <w:separator/>
      </w:r>
    </w:p>
  </w:endnote>
  <w:endnote w:type="continuationSeparator" w:id="0">
    <w:p w14:paraId="72C1B489" w14:textId="77777777" w:rsidR="001B38B7" w:rsidRDefault="001B38B7" w:rsidP="0072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86335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A36CAA5" w14:textId="77777777" w:rsidR="00BF4D92" w:rsidRDefault="00BF4D9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08EF69" w14:textId="77777777" w:rsidR="00BF4D92" w:rsidRDefault="00BF4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86ABF" w14:textId="77777777" w:rsidR="001B38B7" w:rsidRDefault="001B38B7" w:rsidP="00724A0F">
      <w:pPr>
        <w:spacing w:after="0" w:line="240" w:lineRule="auto"/>
      </w:pPr>
      <w:r>
        <w:separator/>
      </w:r>
    </w:p>
  </w:footnote>
  <w:footnote w:type="continuationSeparator" w:id="0">
    <w:p w14:paraId="373D3540" w14:textId="77777777" w:rsidR="001B38B7" w:rsidRDefault="001B38B7" w:rsidP="00724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1692A"/>
    <w:multiLevelType w:val="multilevel"/>
    <w:tmpl w:val="8710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0F"/>
    <w:rsid w:val="00004479"/>
    <w:rsid w:val="00031F86"/>
    <w:rsid w:val="00075E97"/>
    <w:rsid w:val="000B19B6"/>
    <w:rsid w:val="00101111"/>
    <w:rsid w:val="0011426F"/>
    <w:rsid w:val="001559F4"/>
    <w:rsid w:val="0019345F"/>
    <w:rsid w:val="001B38B7"/>
    <w:rsid w:val="001B3DFE"/>
    <w:rsid w:val="001E5FF5"/>
    <w:rsid w:val="001F3A62"/>
    <w:rsid w:val="00212948"/>
    <w:rsid w:val="00244D7C"/>
    <w:rsid w:val="00257BDC"/>
    <w:rsid w:val="002617AB"/>
    <w:rsid w:val="00275C9A"/>
    <w:rsid w:val="002A51E0"/>
    <w:rsid w:val="002C1F7C"/>
    <w:rsid w:val="0032577F"/>
    <w:rsid w:val="00363B74"/>
    <w:rsid w:val="003642D0"/>
    <w:rsid w:val="003A4D18"/>
    <w:rsid w:val="003D0BA6"/>
    <w:rsid w:val="003D69E2"/>
    <w:rsid w:val="004426A6"/>
    <w:rsid w:val="004474B3"/>
    <w:rsid w:val="004627A5"/>
    <w:rsid w:val="00495C52"/>
    <w:rsid w:val="004A4779"/>
    <w:rsid w:val="004B0ECD"/>
    <w:rsid w:val="004B1D40"/>
    <w:rsid w:val="004B5D75"/>
    <w:rsid w:val="004D47AF"/>
    <w:rsid w:val="004E09AB"/>
    <w:rsid w:val="004F2A26"/>
    <w:rsid w:val="004F4CD5"/>
    <w:rsid w:val="00523939"/>
    <w:rsid w:val="00546F03"/>
    <w:rsid w:val="0055433A"/>
    <w:rsid w:val="00582796"/>
    <w:rsid w:val="005916FB"/>
    <w:rsid w:val="00597B9E"/>
    <w:rsid w:val="005A1673"/>
    <w:rsid w:val="005A6B9F"/>
    <w:rsid w:val="005D31F0"/>
    <w:rsid w:val="005D5372"/>
    <w:rsid w:val="00601295"/>
    <w:rsid w:val="006456C2"/>
    <w:rsid w:val="00646F56"/>
    <w:rsid w:val="00647FE1"/>
    <w:rsid w:val="00670398"/>
    <w:rsid w:val="00676F94"/>
    <w:rsid w:val="006834ED"/>
    <w:rsid w:val="006A10C0"/>
    <w:rsid w:val="006F7A28"/>
    <w:rsid w:val="00701173"/>
    <w:rsid w:val="007124F9"/>
    <w:rsid w:val="00724A0F"/>
    <w:rsid w:val="00751129"/>
    <w:rsid w:val="00797C74"/>
    <w:rsid w:val="007C0670"/>
    <w:rsid w:val="007F7F21"/>
    <w:rsid w:val="00804E69"/>
    <w:rsid w:val="00871CCF"/>
    <w:rsid w:val="00881F88"/>
    <w:rsid w:val="00895004"/>
    <w:rsid w:val="008D6F3C"/>
    <w:rsid w:val="00905308"/>
    <w:rsid w:val="00911934"/>
    <w:rsid w:val="009430C2"/>
    <w:rsid w:val="00956734"/>
    <w:rsid w:val="0099564F"/>
    <w:rsid w:val="009E477B"/>
    <w:rsid w:val="00A10B77"/>
    <w:rsid w:val="00A16E63"/>
    <w:rsid w:val="00A30C24"/>
    <w:rsid w:val="00A33A33"/>
    <w:rsid w:val="00A63407"/>
    <w:rsid w:val="00AC0757"/>
    <w:rsid w:val="00AE7299"/>
    <w:rsid w:val="00AF0873"/>
    <w:rsid w:val="00B051D3"/>
    <w:rsid w:val="00B44E00"/>
    <w:rsid w:val="00B95B17"/>
    <w:rsid w:val="00BB3B18"/>
    <w:rsid w:val="00BC3553"/>
    <w:rsid w:val="00BE1AF7"/>
    <w:rsid w:val="00BF48D7"/>
    <w:rsid w:val="00BF4D92"/>
    <w:rsid w:val="00BF7C80"/>
    <w:rsid w:val="00C11B29"/>
    <w:rsid w:val="00C437E5"/>
    <w:rsid w:val="00C73455"/>
    <w:rsid w:val="00C774B8"/>
    <w:rsid w:val="00C91967"/>
    <w:rsid w:val="00CA1884"/>
    <w:rsid w:val="00CC5DB4"/>
    <w:rsid w:val="00D139D7"/>
    <w:rsid w:val="00D244F5"/>
    <w:rsid w:val="00D5630E"/>
    <w:rsid w:val="00D96E94"/>
    <w:rsid w:val="00DA0013"/>
    <w:rsid w:val="00DB6AC9"/>
    <w:rsid w:val="00DC0CBF"/>
    <w:rsid w:val="00DC3676"/>
    <w:rsid w:val="00DD29CA"/>
    <w:rsid w:val="00DF7838"/>
    <w:rsid w:val="00E3422F"/>
    <w:rsid w:val="00E674E3"/>
    <w:rsid w:val="00E73417"/>
    <w:rsid w:val="00E75602"/>
    <w:rsid w:val="00E8760F"/>
    <w:rsid w:val="00E877F8"/>
    <w:rsid w:val="00EC5F06"/>
    <w:rsid w:val="00EF1CB8"/>
    <w:rsid w:val="00F16F86"/>
    <w:rsid w:val="00F53FB0"/>
    <w:rsid w:val="00F61613"/>
    <w:rsid w:val="00F830D7"/>
    <w:rsid w:val="00FA6E9B"/>
    <w:rsid w:val="00FB5AEB"/>
    <w:rsid w:val="00FC1126"/>
    <w:rsid w:val="00FE0E0C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281C"/>
  <w15:chartTrackingRefBased/>
  <w15:docId w15:val="{45D3DD67-0BCB-47DA-AFC2-35AD1779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4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unhideWhenUsed/>
    <w:qFormat/>
    <w:rsid w:val="00724A0F"/>
    <w:pPr>
      <w:spacing w:after="200" w:line="240" w:lineRule="auto"/>
    </w:pPr>
    <w:rPr>
      <w:rFonts w:ascii="Times New Roman" w:hAnsi="Times New Roman"/>
      <w:b/>
      <w:bCs/>
      <w:color w:val="000000" w:themeColor="text1"/>
      <w:sz w:val="24"/>
      <w:szCs w:val="18"/>
    </w:rPr>
  </w:style>
  <w:style w:type="character" w:styleId="Hyperlink">
    <w:name w:val="Hyperlink"/>
    <w:basedOn w:val="DefaultParagraphFont"/>
    <w:uiPriority w:val="99"/>
    <w:unhideWhenUsed/>
    <w:rsid w:val="00724A0F"/>
    <w:rPr>
      <w:strike w:val="0"/>
      <w:dstrike w:val="0"/>
      <w:color w:val="004276"/>
      <w:u w:val="none"/>
      <w:effect w:val="none"/>
      <w:shd w:val="clear" w:color="auto" w:fill="auto"/>
    </w:rPr>
  </w:style>
  <w:style w:type="table" w:customStyle="1" w:styleId="TableGrid3">
    <w:name w:val="Table Grid3"/>
    <w:basedOn w:val="TableNormal"/>
    <w:next w:val="TableGrid"/>
    <w:uiPriority w:val="59"/>
    <w:rsid w:val="0072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2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A0F"/>
  </w:style>
  <w:style w:type="paragraph" w:styleId="Footer">
    <w:name w:val="footer"/>
    <w:basedOn w:val="Normal"/>
    <w:link w:val="FooterChar"/>
    <w:uiPriority w:val="99"/>
    <w:unhideWhenUsed/>
    <w:rsid w:val="00724A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A0F"/>
  </w:style>
  <w:style w:type="paragraph" w:styleId="BalloonText">
    <w:name w:val="Balloon Text"/>
    <w:basedOn w:val="Normal"/>
    <w:link w:val="BalloonTextChar"/>
    <w:uiPriority w:val="99"/>
    <w:semiHidden/>
    <w:unhideWhenUsed/>
    <w:rsid w:val="0003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F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4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E69"/>
    <w:rPr>
      <w:b/>
      <w:bCs/>
      <w:sz w:val="20"/>
      <w:szCs w:val="20"/>
    </w:rPr>
  </w:style>
  <w:style w:type="table" w:customStyle="1" w:styleId="Grilledutableau1">
    <w:name w:val="Grille du tableau1"/>
    <w:basedOn w:val="TableNormal"/>
    <w:next w:val="TableGrid"/>
    <w:uiPriority w:val="59"/>
    <w:rsid w:val="005239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1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quantiferon.com/wp-content/uploads/2018/03/L1075115_QFT_EU_ROW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2845</Words>
  <Characters>16218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Whitworth</dc:creator>
  <cp:keywords/>
  <dc:description/>
  <cp:lastModifiedBy>Hilary Whitworth</cp:lastModifiedBy>
  <cp:revision>3</cp:revision>
  <cp:lastPrinted>2018-08-01T20:28:00Z</cp:lastPrinted>
  <dcterms:created xsi:type="dcterms:W3CDTF">2018-09-19T20:28:00Z</dcterms:created>
  <dcterms:modified xsi:type="dcterms:W3CDTF">2018-09-19T20:29:00Z</dcterms:modified>
</cp:coreProperties>
</file>