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1C311" w14:textId="77777777" w:rsidR="00D26D30" w:rsidRDefault="00D26D30" w:rsidP="0017720F">
      <w:pPr>
        <w:pStyle w:val="Title"/>
      </w:pPr>
      <w:bookmarkStart w:id="0" w:name="_Toc486504200"/>
      <w:r w:rsidRPr="00D26D30">
        <w:t>Wind Turbine Blade End-of-life Options: An Eco-audit Comparison</w:t>
      </w:r>
      <w:bookmarkEnd w:id="0"/>
    </w:p>
    <w:p w14:paraId="53355A03" w14:textId="77777777" w:rsidR="00183529" w:rsidRDefault="00183529" w:rsidP="0017720F">
      <w:pPr>
        <w:jc w:val="center"/>
      </w:pPr>
      <w:r w:rsidRPr="00183529">
        <w:t>Pu</w:t>
      </w:r>
      <w:r>
        <w:t xml:space="preserve"> </w:t>
      </w:r>
      <w:r w:rsidRPr="00183529">
        <w:t>Liu</w:t>
      </w:r>
      <w:r w:rsidRPr="0017720F">
        <w:rPr>
          <w:vertAlign w:val="superscript"/>
        </w:rPr>
        <w:t>1</w:t>
      </w:r>
      <w:r>
        <w:t>, Fanran Meng</w:t>
      </w:r>
      <w:r w:rsidRPr="0017720F">
        <w:rPr>
          <w:vertAlign w:val="superscript"/>
        </w:rPr>
        <w:t>2</w:t>
      </w:r>
      <w:r>
        <w:t xml:space="preserve">, </w:t>
      </w:r>
      <w:r w:rsidRPr="00183529">
        <w:t>Claire Y.</w:t>
      </w:r>
      <w:r>
        <w:t xml:space="preserve"> </w:t>
      </w:r>
      <w:r w:rsidRPr="00183529">
        <w:t>Barlow</w:t>
      </w:r>
      <w:r w:rsidRPr="0017720F">
        <w:rPr>
          <w:vertAlign w:val="superscript"/>
        </w:rPr>
        <w:t>1</w:t>
      </w:r>
      <w:r>
        <w:rPr>
          <w:vertAlign w:val="superscript"/>
        </w:rPr>
        <w:t>*</w:t>
      </w:r>
    </w:p>
    <w:p w14:paraId="40CB0213" w14:textId="77777777" w:rsidR="00183529" w:rsidRDefault="00183529" w:rsidP="00267ABE"/>
    <w:p w14:paraId="471B7CB3" w14:textId="77777777" w:rsidR="00267ABE" w:rsidRDefault="00183529" w:rsidP="0017720F">
      <w:pPr>
        <w:jc w:val="center"/>
      </w:pPr>
      <w:r w:rsidRPr="0017720F">
        <w:rPr>
          <w:vertAlign w:val="superscript"/>
        </w:rPr>
        <w:t>1</w:t>
      </w:r>
      <w:r>
        <w:rPr>
          <w:vertAlign w:val="superscript"/>
        </w:rPr>
        <w:t xml:space="preserve"> </w:t>
      </w:r>
      <w:r w:rsidRPr="00183529">
        <w:t xml:space="preserve">Institute for Manufacturing, </w:t>
      </w:r>
      <w:r w:rsidR="00127D64">
        <w:t xml:space="preserve">Department of Engineering, University of Cambridge, </w:t>
      </w:r>
      <w:r w:rsidRPr="00183529">
        <w:t>17 Charles Babbage Road, Cambridge</w:t>
      </w:r>
      <w:r w:rsidR="00127D64">
        <w:t>,</w:t>
      </w:r>
      <w:r w:rsidRPr="00183529">
        <w:t xml:space="preserve"> CB3 0FS, United Kingdom</w:t>
      </w:r>
    </w:p>
    <w:p w14:paraId="048BCB27" w14:textId="77777777" w:rsidR="00183529" w:rsidRDefault="00183529" w:rsidP="0017720F">
      <w:pPr>
        <w:jc w:val="center"/>
        <w:rPr>
          <w:lang w:val="en-US"/>
        </w:rPr>
      </w:pPr>
      <w:r w:rsidRPr="0017720F">
        <w:rPr>
          <w:bCs/>
          <w:vertAlign w:val="superscript"/>
          <w:lang w:val="en-US"/>
        </w:rPr>
        <w:t>2</w:t>
      </w:r>
      <w:r>
        <w:rPr>
          <w:bCs/>
          <w:lang w:val="en-US"/>
        </w:rPr>
        <w:t xml:space="preserve"> Faculty of Engineering</w:t>
      </w:r>
      <w:r w:rsidRPr="00183529">
        <w:rPr>
          <w:lang w:val="en-US"/>
        </w:rPr>
        <w:t xml:space="preserve">, University of Nottingham, Nottingham NG7 2RD, </w:t>
      </w:r>
      <w:r w:rsidR="00127D64" w:rsidRPr="00183529">
        <w:t>United Kingdom</w:t>
      </w:r>
    </w:p>
    <w:p w14:paraId="01FD4EC5" w14:textId="77777777" w:rsidR="00183529" w:rsidRDefault="00183529" w:rsidP="0017720F">
      <w:pPr>
        <w:jc w:val="center"/>
      </w:pPr>
      <w:r w:rsidRPr="0017720F">
        <w:rPr>
          <w:vertAlign w:val="superscript"/>
        </w:rPr>
        <w:t>*</w:t>
      </w:r>
      <w:r>
        <w:t xml:space="preserve"> Corresponding author: cyb1@cam.ac.uk</w:t>
      </w:r>
    </w:p>
    <w:p w14:paraId="6DC3867F" w14:textId="77777777" w:rsidR="00D26D30" w:rsidRDefault="00D26D30" w:rsidP="00267ABE"/>
    <w:p w14:paraId="010BB96B" w14:textId="77777777" w:rsidR="00D26D30" w:rsidRDefault="00D26D30" w:rsidP="0017720F">
      <w:pPr>
        <w:pStyle w:val="Heading1"/>
        <w:numPr>
          <w:ilvl w:val="0"/>
          <w:numId w:val="0"/>
        </w:numPr>
        <w:ind w:left="432" w:hanging="432"/>
      </w:pPr>
      <w:r>
        <w:t>Abstract</w:t>
      </w:r>
    </w:p>
    <w:p w14:paraId="39D4EB0E" w14:textId="77777777" w:rsidR="00D26D30" w:rsidRDefault="00D26D30" w:rsidP="00267ABE"/>
    <w:p w14:paraId="384A3FDF" w14:textId="0D63D59C" w:rsidR="00CB61A7" w:rsidRDefault="00CB61A7" w:rsidP="00CB61A7">
      <w:r w:rsidRPr="00A81364">
        <w:t>Wind energy has developed rapidly over the last two decades to become one of the most promising economical and green sources of renewable energy, responding to concerns about use of fossil fuels and increasing demand for energy.</w:t>
      </w:r>
      <w:r>
        <w:t xml:space="preserve"> However, attention is now turning to what happens to end-of-life wind turbine waste, and there is scrutiny of its environmental impact. </w:t>
      </w:r>
      <w:r w:rsidRPr="00A81364">
        <w:t xml:space="preserve">In this study, </w:t>
      </w:r>
      <w:r>
        <w:t>we focus on one aspect of this, the blades. We analyse and compare end-of-life options for wind turbine</w:t>
      </w:r>
      <w:r w:rsidRPr="00A81364">
        <w:t xml:space="preserve"> blade</w:t>
      </w:r>
      <w:r>
        <w:t xml:space="preserve"> materials (mainly </w:t>
      </w:r>
      <w:r w:rsidRPr="00317C32">
        <w:t>glass fibre reinforced plastic and carbon fibre reinforced plastic</w:t>
      </w:r>
      <w:r>
        <w:t>)</w:t>
      </w:r>
      <w:r w:rsidRPr="00A81364">
        <w:t xml:space="preserve"> in terms of environmental impact</w:t>
      </w:r>
      <w:r>
        <w:t xml:space="preserve"> (focusing on </w:t>
      </w:r>
      <w:r w:rsidRPr="00317C32">
        <w:t>energy</w:t>
      </w:r>
      <w:r>
        <w:t xml:space="preserve"> consumption), using our own data together with results gathered from the literature. The</w:t>
      </w:r>
      <w:r w:rsidRPr="00317C32">
        <w:t xml:space="preserve"> environmental imp</w:t>
      </w:r>
      <w:r>
        <w:t>acts of each end-of-life option are</w:t>
      </w:r>
      <w:r w:rsidRPr="00317C32">
        <w:t xml:space="preserve"> discussed, looking at processing energy consumption, the recycling benefits and the effect of blade technology development trends.</w:t>
      </w:r>
      <w:r>
        <w:t xml:space="preserve"> There is considerable variability in the results, and lack of consensus on predictions for the future. We therefore analyse the results using a r</w:t>
      </w:r>
      <w:r w:rsidR="00023944">
        <w:t>ange of different scenarios to</w:t>
      </w:r>
      <w:r w:rsidRPr="00317C32">
        <w:t xml:space="preserve"> </w:t>
      </w:r>
      <w:r>
        <w:t xml:space="preserve">show how the ‘optimal’ solutions are influenced by trends in blade composition and end-of-life process development. </w:t>
      </w:r>
      <w:r w:rsidRPr="00317C32">
        <w:t xml:space="preserve">The most environmentally favourable process is dependent on </w:t>
      </w:r>
      <w:r>
        <w:t xml:space="preserve">whether </w:t>
      </w:r>
      <w:r w:rsidRPr="00317C32">
        <w:t>the materials used for the</w:t>
      </w:r>
      <w:r>
        <w:t xml:space="preserve"> blades are glass fibre composite or carbon fibre composite</w:t>
      </w:r>
      <w:r w:rsidRPr="00317C32">
        <w:t xml:space="preserve">. The extent to which process improvement might affect the viability of different </w:t>
      </w:r>
      <w:r>
        <w:t>end-of-life</w:t>
      </w:r>
      <w:r w:rsidRPr="00317C32">
        <w:t xml:space="preserve"> processes has been assessed by looking at ‘crossover’ points </w:t>
      </w:r>
      <w:r w:rsidR="00023944">
        <w:t xml:space="preserve">for </w:t>
      </w:r>
      <w:r w:rsidRPr="00317C32">
        <w:t xml:space="preserve">when the environmental impact becomes favourable. This analysis </w:t>
      </w:r>
      <w:r>
        <w:t>gives new insight into areas where</w:t>
      </w:r>
      <w:r w:rsidRPr="00317C32">
        <w:t xml:space="preserve"> </w:t>
      </w:r>
      <w:r>
        <w:t xml:space="preserve">research into process technologies could be targeted to enable </w:t>
      </w:r>
      <w:r w:rsidRPr="00317C32">
        <w:t xml:space="preserve">significant </w:t>
      </w:r>
      <w:r>
        <w:t>end-of-life</w:t>
      </w:r>
      <w:r w:rsidRPr="00317C32">
        <w:t xml:space="preserve"> environmental benefits. </w:t>
      </w:r>
    </w:p>
    <w:p w14:paraId="13810D67" w14:textId="77777777" w:rsidR="00D26D30" w:rsidRDefault="00D26D30" w:rsidP="00267ABE"/>
    <w:p w14:paraId="58EBF585" w14:textId="77777777" w:rsidR="00D26D30" w:rsidRDefault="00D26D30" w:rsidP="00267ABE">
      <w:r>
        <w:t xml:space="preserve">Key Words: </w:t>
      </w:r>
      <w:r w:rsidR="00B95FE9">
        <w:t>Wind energy; Environmental impact; Composites recycling; End-of-life wind turbine blades</w:t>
      </w:r>
    </w:p>
    <w:p w14:paraId="6F36C5A2" w14:textId="77777777" w:rsidR="00D26D30" w:rsidRDefault="00D26D30" w:rsidP="00267ABE"/>
    <w:p w14:paraId="2348BB49" w14:textId="77777777" w:rsidR="00D26D30" w:rsidRPr="00267ABE" w:rsidRDefault="00D26D30" w:rsidP="00267ABE"/>
    <w:p w14:paraId="1CAB2463" w14:textId="77777777" w:rsidR="00981213" w:rsidRDefault="00981213">
      <w:pPr>
        <w:jc w:val="left"/>
        <w:rPr>
          <w:rFonts w:asciiTheme="majorHAnsi" w:eastAsiaTheme="majorEastAsia" w:hAnsiTheme="majorHAnsi" w:cstheme="majorBidi"/>
          <w:color w:val="2F5496" w:themeColor="accent1" w:themeShade="BF"/>
          <w:sz w:val="32"/>
          <w:szCs w:val="32"/>
        </w:rPr>
      </w:pPr>
      <w:r>
        <w:br w:type="page"/>
      </w:r>
    </w:p>
    <w:p w14:paraId="3845947F" w14:textId="197445EC" w:rsidR="00B44120" w:rsidRDefault="00B44120" w:rsidP="009055C5">
      <w:pPr>
        <w:pStyle w:val="Heading1"/>
      </w:pPr>
      <w:r>
        <w:lastRenderedPageBreak/>
        <w:t>Introduction</w:t>
      </w:r>
    </w:p>
    <w:p w14:paraId="26BC7FE7" w14:textId="7D2553AF" w:rsidR="00B44120" w:rsidRPr="002A6DBD" w:rsidRDefault="00267ABE" w:rsidP="00B44120">
      <w:pPr>
        <w:tabs>
          <w:tab w:val="left" w:pos="851"/>
        </w:tabs>
        <w:spacing w:before="120" w:line="360" w:lineRule="auto"/>
        <w:rPr>
          <w:rFonts w:ascii="Helvetica" w:eastAsia="Times New Roman" w:hAnsi="Helvetica" w:cs="Times New Roman"/>
          <w:sz w:val="22"/>
          <w:szCs w:val="22"/>
        </w:rPr>
      </w:pPr>
      <w:r w:rsidRPr="00267ABE">
        <w:rPr>
          <w:rFonts w:ascii="Helvetica" w:eastAsia="Times New Roman" w:hAnsi="Helvetica" w:cs="Times New Roman"/>
          <w:sz w:val="22"/>
          <w:szCs w:val="22"/>
        </w:rPr>
        <w:t>Wind energy has developed rapidly over the last two decades to become one of the most promising economical and green sources of renewable energy, responding to concerns about use of fossil fuels and increasing demand for energy</w:t>
      </w:r>
      <w:r w:rsidR="00756569">
        <w:rPr>
          <w:rFonts w:ascii="Helvetica" w:eastAsia="Times New Roman" w:hAnsi="Helvetica" w:cs="Times New Roman"/>
          <w:sz w:val="22"/>
          <w:szCs w:val="22"/>
        </w:rPr>
        <w:t xml:space="preserve"> </w:t>
      </w:r>
      <w:r w:rsidR="00107EB7">
        <w:rPr>
          <w:rFonts w:ascii="Helvetica" w:eastAsia="Times New Roman" w:hAnsi="Helvetica" w:cs="Times New Roman"/>
          <w:sz w:val="22"/>
          <w:szCs w:val="22"/>
        </w:rPr>
        <w:fldChar w:fldCharType="begin" w:fldLock="1"/>
      </w:r>
      <w:r w:rsidR="0080066F">
        <w:rPr>
          <w:rFonts w:ascii="Helvetica" w:eastAsia="Times New Roman" w:hAnsi="Helvetica" w:cs="Times New Roman"/>
          <w:sz w:val="22"/>
          <w:szCs w:val="22"/>
        </w:rPr>
        <w:instrText>ADDIN CSL_CITATION {"citationItems":[{"id":"ITEM-1","itemData":{"URL":"https://ourworldindata.org/energy-production-and-changing-energy-sources","accessed":{"date-parts":[["2017","12","2"]]},"author":[{"dropping-particle":"","family":"Hannah","given":"Ritchie","non-dropping-particle":"","parse-names":false,"suffix":""},{"dropping-particle":"","family":"Max","given":"Roser","non-dropping-particle":"","parse-names":false,"suffix":""}],"container-title":"Ourworlddata.org website","id":"ITEM-1","issued":{"date-parts":[["2017"]]},"title":"Energy Production &amp; Changing Energy Sources","type":"webpage"},"uris":["http://www.mendeley.com/documents/?uuid=6632ff65-76c2-4957-9bc3-8ea02bbcc336"]}],"mendeley":{"formattedCitation":"(Hannah and Max, 2017)","plainTextFormattedCitation":"(Hannah and Max, 2017)","previouslyFormattedCitation":"(Hannah and Max, 2017)"},"properties":{"noteIndex":0},"schema":"https://github.com/citation-style-language/schema/raw/master/csl-citation.json"}</w:instrText>
      </w:r>
      <w:r w:rsidR="00107EB7">
        <w:rPr>
          <w:rFonts w:ascii="Helvetica" w:eastAsia="Times New Roman" w:hAnsi="Helvetica" w:cs="Times New Roman"/>
          <w:sz w:val="22"/>
          <w:szCs w:val="22"/>
        </w:rPr>
        <w:fldChar w:fldCharType="separate"/>
      </w:r>
      <w:r w:rsidR="0080066F" w:rsidRPr="0080066F">
        <w:rPr>
          <w:rFonts w:ascii="Helvetica" w:eastAsia="Times New Roman" w:hAnsi="Helvetica" w:cs="Times New Roman"/>
          <w:noProof/>
          <w:sz w:val="22"/>
          <w:szCs w:val="22"/>
        </w:rPr>
        <w:t>(Hannah and Max, 2017)</w:t>
      </w:r>
      <w:r w:rsidR="00107EB7">
        <w:rPr>
          <w:rFonts w:ascii="Helvetica" w:eastAsia="Times New Roman" w:hAnsi="Helvetica" w:cs="Times New Roman"/>
          <w:sz w:val="22"/>
          <w:szCs w:val="22"/>
        </w:rPr>
        <w:fldChar w:fldCharType="end"/>
      </w:r>
      <w:r w:rsidRPr="00267ABE">
        <w:rPr>
          <w:rFonts w:ascii="Helvetica" w:eastAsia="Times New Roman" w:hAnsi="Helvetica" w:cs="Times New Roman"/>
          <w:sz w:val="22"/>
          <w:szCs w:val="22"/>
        </w:rPr>
        <w:t>.</w:t>
      </w:r>
      <w:r>
        <w:rPr>
          <w:rFonts w:ascii="Helvetica" w:eastAsia="Times New Roman" w:hAnsi="Helvetica" w:cs="Times New Roman" w:hint="eastAsia"/>
          <w:sz w:val="22"/>
          <w:szCs w:val="22"/>
        </w:rPr>
        <w:t xml:space="preserve"> </w:t>
      </w:r>
      <w:r w:rsidRPr="00267ABE">
        <w:rPr>
          <w:rFonts w:ascii="Helvetica" w:eastAsia="Times New Roman" w:hAnsi="Helvetica" w:cs="Times New Roman"/>
          <w:sz w:val="22"/>
          <w:szCs w:val="22"/>
        </w:rPr>
        <w:t>The first generation of commercial turbines are reaching the end of their design life, and attention is just starting to turn to the problem of what will happen to the waste as the generators are decommissioned</w:t>
      </w:r>
      <w:r w:rsidR="000C523E">
        <w:rPr>
          <w:rFonts w:ascii="Helvetica" w:eastAsia="Times New Roman" w:hAnsi="Helvetica" w:cs="Times New Roman"/>
          <w:sz w:val="22"/>
          <w:szCs w:val="22"/>
        </w:rPr>
        <w:t xml:space="preserve"> </w:t>
      </w:r>
      <w:r w:rsidR="00107EB7">
        <w:rPr>
          <w:rFonts w:ascii="Helvetica" w:eastAsia="Times New Roman" w:hAnsi="Helvetica" w:cs="Times New Roman"/>
          <w:sz w:val="22"/>
          <w:szCs w:val="22"/>
        </w:rPr>
        <w:fldChar w:fldCharType="begin" w:fldLock="1"/>
      </w:r>
      <w:r w:rsidR="0080066F">
        <w:rPr>
          <w:rFonts w:ascii="Helvetica" w:eastAsia="Times New Roman" w:hAnsi="Helvetica" w:cs="Times New Roman"/>
          <w:sz w:val="22"/>
          <w:szCs w:val="22"/>
        </w:rPr>
        <w:instrText>ADDIN CSL_CITATION {"citationItems":[{"id":"ITEM-1","itemData":{"DOI":"10.1016/j.wasman.2017.02.007","ISSN":"0956-053X","author":[{"dropping-particle":"","family":"Liu","given":"Pu","non-dropping-particle":"","parse-names":false,"suffix":""},{"dropping-particle":"","family":"Barlow","given":"Claire Y","non-dropping-particle":"","parse-names":false,"suffix":""}],"container-title":"Waste Management","id":"ITEM-1","issued":{"date-parts":[["2017"]]},"title":"Wind turbine blade waste in 2050","type":"article-journal"},"uris":["http://www.mendeley.com/documents/?uuid=ffb74b6c-2307-4787-ba09-5aca4affa382"]}],"mendeley":{"formattedCitation":"(Liu and Barlow, 2017)","plainTextFormattedCitation":"(Liu and Barlow, 2017)","previouslyFormattedCitation":"(Liu and Barlow, 2017)"},"properties":{"noteIndex":0},"schema":"https://github.com/citation-style-language/schema/raw/master/csl-citation.json"}</w:instrText>
      </w:r>
      <w:r w:rsidR="00107EB7">
        <w:rPr>
          <w:rFonts w:ascii="Helvetica" w:eastAsia="Times New Roman" w:hAnsi="Helvetica" w:cs="Times New Roman"/>
          <w:sz w:val="22"/>
          <w:szCs w:val="22"/>
        </w:rPr>
        <w:fldChar w:fldCharType="separate"/>
      </w:r>
      <w:r w:rsidR="00756569" w:rsidRPr="00756569">
        <w:rPr>
          <w:rFonts w:ascii="Helvetica" w:eastAsia="Times New Roman" w:hAnsi="Helvetica" w:cs="Times New Roman"/>
          <w:noProof/>
          <w:sz w:val="22"/>
          <w:szCs w:val="22"/>
        </w:rPr>
        <w:t>(Liu and Barlow, 2017)</w:t>
      </w:r>
      <w:r w:rsidR="00107EB7">
        <w:rPr>
          <w:rFonts w:ascii="Helvetica" w:eastAsia="Times New Roman" w:hAnsi="Helvetica" w:cs="Times New Roman"/>
          <w:sz w:val="22"/>
          <w:szCs w:val="22"/>
        </w:rPr>
        <w:fldChar w:fldCharType="end"/>
      </w:r>
      <w:r w:rsidRPr="00267ABE">
        <w:rPr>
          <w:rFonts w:ascii="Helvetica" w:eastAsia="Times New Roman" w:hAnsi="Helvetica" w:cs="Times New Roman"/>
          <w:sz w:val="22"/>
          <w:szCs w:val="22"/>
        </w:rPr>
        <w:t xml:space="preserve">. The environmental implications are significant, but at present there are </w:t>
      </w:r>
      <w:r w:rsidR="00392B03">
        <w:rPr>
          <w:rFonts w:ascii="Helvetica" w:eastAsia="Times New Roman" w:hAnsi="Helvetica" w:cs="Times New Roman"/>
          <w:sz w:val="22"/>
          <w:szCs w:val="22"/>
        </w:rPr>
        <w:t>limited</w:t>
      </w:r>
      <w:r w:rsidR="00392B03" w:rsidRPr="00267ABE">
        <w:rPr>
          <w:rFonts w:ascii="Helvetica" w:eastAsia="Times New Roman" w:hAnsi="Helvetica" w:cs="Times New Roman"/>
          <w:sz w:val="22"/>
          <w:szCs w:val="22"/>
        </w:rPr>
        <w:t xml:space="preserve"> </w:t>
      </w:r>
      <w:r w:rsidRPr="00267ABE">
        <w:rPr>
          <w:rFonts w:ascii="Helvetica" w:eastAsia="Times New Roman" w:hAnsi="Helvetica" w:cs="Times New Roman"/>
          <w:sz w:val="22"/>
          <w:szCs w:val="22"/>
        </w:rPr>
        <w:t>estimates of the potential magnitude of the problem. We are addressing one aspect of this, focusing on the blades. A large part of these high-value components is fibre composite</w:t>
      </w:r>
      <w:r w:rsidR="00392B03">
        <w:rPr>
          <w:rFonts w:ascii="Helvetica" w:eastAsia="Times New Roman" w:hAnsi="Helvetica" w:cs="Times New Roman"/>
          <w:sz w:val="22"/>
          <w:szCs w:val="22"/>
        </w:rPr>
        <w:t xml:space="preserve"> (glass fibre reinforced plastic (GFRP) and carbon fibre reinforced plastic (CFRP))</w:t>
      </w:r>
      <w:r w:rsidRPr="00267ABE">
        <w:rPr>
          <w:rFonts w:ascii="Helvetica" w:eastAsia="Times New Roman" w:hAnsi="Helvetica" w:cs="Times New Roman"/>
          <w:sz w:val="22"/>
          <w:szCs w:val="22"/>
        </w:rPr>
        <w:t xml:space="preserve">, for which there is currently no satisfactory recycling route. The composites recycling industry </w:t>
      </w:r>
      <w:r w:rsidR="001005CA">
        <w:rPr>
          <w:rFonts w:ascii="Helvetica" w:eastAsia="Times New Roman" w:hAnsi="Helvetica" w:cs="Times New Roman"/>
          <w:sz w:val="22"/>
          <w:szCs w:val="22"/>
        </w:rPr>
        <w:t xml:space="preserve">is </w:t>
      </w:r>
      <w:r w:rsidR="006F53C1">
        <w:rPr>
          <w:rFonts w:ascii="Helvetica" w:eastAsia="Times New Roman" w:hAnsi="Helvetica" w:cs="Times New Roman"/>
          <w:sz w:val="22"/>
          <w:szCs w:val="22"/>
        </w:rPr>
        <w:t xml:space="preserve">developing, </w:t>
      </w:r>
      <w:r w:rsidRPr="00267ABE">
        <w:rPr>
          <w:rFonts w:ascii="Helvetica" w:eastAsia="Times New Roman" w:hAnsi="Helvetica" w:cs="Times New Roman"/>
          <w:sz w:val="22"/>
          <w:szCs w:val="22"/>
        </w:rPr>
        <w:t>and one of its requirements</w:t>
      </w:r>
      <w:r w:rsidR="006F53C1" w:rsidRPr="00267ABE">
        <w:rPr>
          <w:rFonts w:ascii="Helvetica" w:eastAsia="Times New Roman" w:hAnsi="Helvetica" w:cs="Times New Roman"/>
          <w:sz w:val="22"/>
          <w:szCs w:val="22"/>
        </w:rPr>
        <w:t xml:space="preserve"> in the coming years</w:t>
      </w:r>
      <w:r w:rsidRPr="00267ABE">
        <w:rPr>
          <w:rFonts w:ascii="Helvetica" w:eastAsia="Times New Roman" w:hAnsi="Helvetica" w:cs="Times New Roman"/>
          <w:sz w:val="22"/>
          <w:szCs w:val="22"/>
        </w:rPr>
        <w:t xml:space="preserve"> will be estimates of the e</w:t>
      </w:r>
      <w:r w:rsidR="00E958F5">
        <w:rPr>
          <w:rFonts w:ascii="Helvetica" w:eastAsia="Times New Roman" w:hAnsi="Helvetica" w:cs="Times New Roman"/>
          <w:sz w:val="22"/>
          <w:szCs w:val="22"/>
        </w:rPr>
        <w:t>nvironmental benefits</w:t>
      </w:r>
      <w:r w:rsidRPr="00267ABE">
        <w:rPr>
          <w:rFonts w:ascii="Helvetica" w:eastAsia="Times New Roman" w:hAnsi="Helvetica" w:cs="Times New Roman"/>
          <w:sz w:val="22"/>
          <w:szCs w:val="22"/>
        </w:rPr>
        <w:t xml:space="preserve"> </w:t>
      </w:r>
      <w:r w:rsidR="00AF4295" w:rsidRPr="00267ABE">
        <w:rPr>
          <w:rFonts w:ascii="Helvetica" w:eastAsia="Times New Roman" w:hAnsi="Helvetica" w:cs="Times New Roman"/>
          <w:sz w:val="22"/>
          <w:szCs w:val="22"/>
        </w:rPr>
        <w:t>th</w:t>
      </w:r>
      <w:r w:rsidR="00AF4295">
        <w:rPr>
          <w:rFonts w:ascii="Helvetica" w:eastAsia="Times New Roman" w:hAnsi="Helvetica" w:cs="Times New Roman"/>
          <w:sz w:val="22"/>
          <w:szCs w:val="22"/>
        </w:rPr>
        <w:t>at</w:t>
      </w:r>
      <w:r w:rsidR="00AF4295" w:rsidRPr="00267ABE">
        <w:rPr>
          <w:rFonts w:ascii="Helvetica" w:eastAsia="Times New Roman" w:hAnsi="Helvetica" w:cs="Times New Roman"/>
          <w:sz w:val="22"/>
          <w:szCs w:val="22"/>
        </w:rPr>
        <w:t xml:space="preserve"> </w:t>
      </w:r>
      <w:r w:rsidRPr="00267ABE">
        <w:rPr>
          <w:rFonts w:ascii="Helvetica" w:eastAsia="Times New Roman" w:hAnsi="Helvetica" w:cs="Times New Roman"/>
          <w:sz w:val="22"/>
          <w:szCs w:val="22"/>
        </w:rPr>
        <w:t xml:space="preserve">composites </w:t>
      </w:r>
      <w:r w:rsidR="00E958F5">
        <w:rPr>
          <w:rFonts w:ascii="Helvetica" w:eastAsia="Times New Roman" w:hAnsi="Helvetica" w:cs="Times New Roman"/>
          <w:sz w:val="22"/>
          <w:szCs w:val="22"/>
        </w:rPr>
        <w:t>recycling</w:t>
      </w:r>
      <w:r w:rsidR="002054BA">
        <w:rPr>
          <w:rFonts w:ascii="Helvetica" w:eastAsia="Times New Roman" w:hAnsi="Helvetica" w:cs="Times New Roman"/>
          <w:sz w:val="22"/>
          <w:szCs w:val="22"/>
        </w:rPr>
        <w:t xml:space="preserve"> may </w:t>
      </w:r>
      <w:r w:rsidR="009E07A8">
        <w:rPr>
          <w:rFonts w:ascii="Helvetica" w:eastAsia="Times New Roman" w:hAnsi="Helvetica" w:cs="Times New Roman"/>
          <w:sz w:val="22"/>
          <w:szCs w:val="22"/>
        </w:rPr>
        <w:t>bring</w:t>
      </w:r>
      <w:r w:rsidR="00A17B85">
        <w:rPr>
          <w:rFonts w:ascii="Helvetica" w:eastAsia="Times New Roman" w:hAnsi="Helvetica" w:cs="Times New Roman"/>
          <w:sz w:val="22"/>
          <w:szCs w:val="22"/>
        </w:rPr>
        <w:t xml:space="preserve"> </w:t>
      </w:r>
      <w:r w:rsidR="00107EB7">
        <w:rPr>
          <w:rFonts w:ascii="Helvetica" w:eastAsia="Times New Roman" w:hAnsi="Helvetica" w:cs="Times New Roman"/>
          <w:sz w:val="22"/>
          <w:szCs w:val="22"/>
        </w:rPr>
        <w:fldChar w:fldCharType="begin" w:fldLock="1"/>
      </w:r>
      <w:r w:rsidR="00A17B85">
        <w:rPr>
          <w:rFonts w:ascii="Helvetica" w:eastAsia="Times New Roman" w:hAnsi="Helvetica" w:cs="Times New Roman"/>
          <w:sz w:val="22"/>
          <w:szCs w:val="22"/>
        </w:rPr>
        <w:instrText>ADDIN CSL_CITATION {"citationItems":[{"id":"ITEM-1","itemData":{"DOI":"10.1021/acssuschemeng.8b01026","ISSN":"2168-0485","author":[{"dropping-particle":"","family":"Meng","given":"Fanran","non-dropping-particle":"","parse-names":false,"suffix":""},{"dropping-particle":"","family":"Olivetti","given":"Elsa A.","non-dropping-particle":"","parse-names":false,"suffix":""},{"dropping-particle":"","family":"Zhao","given":"Youyang","non-dropping-particle":"","parse-names":false,"suffix":""},{"dropping-particle":"","family":"Chang","given":"Jiyoun C.","non-dropping-particle":"","parse-names":false,"suffix":""},{"dropping-particle":"","family":"Pickering","given":"Stephen J.","non-dropping-particle":"","parse-names":false,"suffix":""},{"dropping-particle":"","family":"McKechnie","given":"Jon","non-dropping-particle":"","parse-names":false,"suffix":""}],"container-title":"ACS Sustainable Chemistry &amp; Engineering","id":"ITEM-1","issue":"8","issued":{"date-parts":[["2018"]]},"page":"9854–9865","title":"Comparing Life Cycle Energy and Global Warming Potential of Carbon Fiber Composite Recycling Technologies and Waste Management Options","type":"article-journal","volume":"6"},"uris":["http://www.mendeley.com/documents/?uuid=b047afd1-5800-45a4-8402-3319bfa83641"]}],"mendeley":{"formattedCitation":"(Meng et al., 2018)","plainTextFormattedCitation":"(Meng et al., 2018)","previouslyFormattedCitation":"(Meng et al., 2018)"},"properties":{"noteIndex":0},"schema":"https://github.com/citation-style-language/schema/raw/master/csl-citation.json"}</w:instrText>
      </w:r>
      <w:r w:rsidR="00107EB7">
        <w:rPr>
          <w:rFonts w:ascii="Helvetica" w:eastAsia="Times New Roman" w:hAnsi="Helvetica" w:cs="Times New Roman"/>
          <w:sz w:val="22"/>
          <w:szCs w:val="22"/>
        </w:rPr>
        <w:fldChar w:fldCharType="separate"/>
      </w:r>
      <w:r w:rsidR="00A17B85" w:rsidRPr="00A17B85">
        <w:rPr>
          <w:rFonts w:ascii="Helvetica" w:eastAsia="Times New Roman" w:hAnsi="Helvetica" w:cs="Times New Roman"/>
          <w:noProof/>
          <w:sz w:val="22"/>
          <w:szCs w:val="22"/>
        </w:rPr>
        <w:t>(Meng et al., 2018)</w:t>
      </w:r>
      <w:r w:rsidR="00107EB7">
        <w:rPr>
          <w:rFonts w:ascii="Helvetica" w:eastAsia="Times New Roman" w:hAnsi="Helvetica" w:cs="Times New Roman"/>
          <w:sz w:val="22"/>
          <w:szCs w:val="22"/>
        </w:rPr>
        <w:fldChar w:fldCharType="end"/>
      </w:r>
      <w:r w:rsidR="009E07A8">
        <w:rPr>
          <w:rFonts w:ascii="Helvetica" w:eastAsia="Times New Roman" w:hAnsi="Helvetica" w:cs="Times New Roman"/>
          <w:sz w:val="22"/>
          <w:szCs w:val="22"/>
        </w:rPr>
        <w:t>.</w:t>
      </w:r>
      <w:r w:rsidR="002054BA">
        <w:rPr>
          <w:rFonts w:ascii="Helvetica" w:eastAsia="Times New Roman" w:hAnsi="Helvetica" w:cs="Times New Roman"/>
          <w:sz w:val="22"/>
          <w:szCs w:val="22"/>
        </w:rPr>
        <w:t xml:space="preserve"> </w:t>
      </w:r>
      <w:r w:rsidR="00E958F5">
        <w:rPr>
          <w:rFonts w:ascii="Helvetica" w:eastAsia="Times New Roman" w:hAnsi="Helvetica" w:cs="Times New Roman"/>
          <w:sz w:val="22"/>
          <w:szCs w:val="22"/>
          <w:lang w:eastAsia="en-GB"/>
        </w:rPr>
        <w:t>In this study</w:t>
      </w:r>
      <w:r w:rsidR="00B44120" w:rsidRPr="002A6DBD">
        <w:rPr>
          <w:rFonts w:ascii="Helvetica" w:eastAsia="Times New Roman" w:hAnsi="Helvetica" w:cs="Times New Roman"/>
          <w:sz w:val="22"/>
          <w:szCs w:val="22"/>
          <w:lang w:eastAsia="en-GB"/>
        </w:rPr>
        <w:t xml:space="preserve">, we analyse the </w:t>
      </w:r>
      <w:r w:rsidR="00E958F5">
        <w:rPr>
          <w:rFonts w:ascii="Helvetica" w:eastAsia="Times New Roman" w:hAnsi="Helvetica" w:cs="Times New Roman"/>
          <w:sz w:val="22"/>
          <w:szCs w:val="22"/>
          <w:lang w:eastAsia="en-GB"/>
        </w:rPr>
        <w:t>end-of-life (</w:t>
      </w:r>
      <w:proofErr w:type="spellStart"/>
      <w:r w:rsidR="00E958F5">
        <w:rPr>
          <w:rFonts w:ascii="Helvetica" w:eastAsia="Times New Roman" w:hAnsi="Helvetica" w:cs="Times New Roman"/>
          <w:sz w:val="22"/>
          <w:szCs w:val="22"/>
          <w:lang w:eastAsia="en-GB"/>
        </w:rPr>
        <w:t>EoL</w:t>
      </w:r>
      <w:proofErr w:type="spellEnd"/>
      <w:r w:rsidR="00E958F5">
        <w:rPr>
          <w:rFonts w:ascii="Helvetica" w:eastAsia="Times New Roman" w:hAnsi="Helvetica" w:cs="Times New Roman"/>
          <w:sz w:val="22"/>
          <w:szCs w:val="22"/>
          <w:lang w:eastAsia="en-GB"/>
        </w:rPr>
        <w:t>)</w:t>
      </w:r>
      <w:r w:rsidR="00B44120" w:rsidRPr="002A6DBD">
        <w:rPr>
          <w:rFonts w:ascii="Helvetica" w:eastAsia="Times New Roman" w:hAnsi="Helvetica" w:cs="Times New Roman"/>
          <w:sz w:val="22"/>
          <w:szCs w:val="22"/>
          <w:lang w:eastAsia="en-GB"/>
        </w:rPr>
        <w:t xml:space="preserve"> options for </w:t>
      </w:r>
      <w:r w:rsidR="00E958F5">
        <w:rPr>
          <w:rFonts w:ascii="Helvetica" w:eastAsia="Times New Roman" w:hAnsi="Helvetica" w:cs="Times New Roman"/>
          <w:sz w:val="22"/>
          <w:szCs w:val="22"/>
          <w:lang w:eastAsia="en-GB"/>
        </w:rPr>
        <w:t>wind turbine (WT)</w:t>
      </w:r>
      <w:r w:rsidR="00B44120" w:rsidRPr="002A6DBD">
        <w:rPr>
          <w:rFonts w:ascii="Helvetica" w:eastAsia="Times New Roman" w:hAnsi="Helvetica" w:cs="Times New Roman"/>
          <w:sz w:val="22"/>
          <w:szCs w:val="22"/>
          <w:lang w:eastAsia="en-GB"/>
        </w:rPr>
        <w:t xml:space="preserve"> blades </w:t>
      </w:r>
      <w:r w:rsidR="00E958F5">
        <w:rPr>
          <w:rFonts w:ascii="Helvetica" w:eastAsia="Times New Roman" w:hAnsi="Helvetica" w:cs="Times New Roman"/>
          <w:sz w:val="22"/>
          <w:szCs w:val="22"/>
          <w:lang w:eastAsia="en-GB"/>
        </w:rPr>
        <w:t>i</w:t>
      </w:r>
      <w:r w:rsidR="00B44120" w:rsidRPr="002A6DBD">
        <w:rPr>
          <w:rFonts w:ascii="Helvetica" w:eastAsia="Times New Roman" w:hAnsi="Helvetica" w:cs="Times New Roman"/>
          <w:sz w:val="22"/>
          <w:szCs w:val="22"/>
          <w:lang w:eastAsia="en-GB"/>
        </w:rPr>
        <w:t xml:space="preserve">n terms of environmental impact and then compare them to determine an ‘optimal’ solution which minimises environmental impact. </w:t>
      </w:r>
    </w:p>
    <w:p w14:paraId="288396A3" w14:textId="7E4A3DD1" w:rsidR="00B44120" w:rsidRPr="002A6DBD" w:rsidRDefault="00B44120" w:rsidP="00B44120">
      <w:pPr>
        <w:tabs>
          <w:tab w:val="left" w:pos="851"/>
        </w:tabs>
        <w:spacing w:before="120" w:line="360" w:lineRule="auto"/>
        <w:rPr>
          <w:rFonts w:ascii="Helvetica" w:eastAsia="Hannotate TC" w:hAnsi="Helvetica" w:cs="Hannotate SC Regular"/>
          <w:color w:val="000000"/>
          <w:sz w:val="22"/>
          <w:szCs w:val="22"/>
          <w:lang w:eastAsia="en-GB"/>
        </w:rPr>
      </w:pPr>
      <w:r w:rsidRPr="002A6DBD">
        <w:rPr>
          <w:rFonts w:ascii="Helvetica" w:eastAsia="Times New Roman" w:hAnsi="Helvetica" w:cs="Times New Roman"/>
          <w:sz w:val="22"/>
          <w:szCs w:val="22"/>
          <w:lang w:eastAsia="en-GB"/>
        </w:rPr>
        <w:t xml:space="preserve">Several studies have reviewed the available </w:t>
      </w:r>
      <w:proofErr w:type="spellStart"/>
      <w:r w:rsidRPr="002A6DBD">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optio</w:t>
      </w:r>
      <w:r w:rsidR="002C5A67">
        <w:rPr>
          <w:rFonts w:ascii="Helvetica" w:eastAsia="Times New Roman" w:hAnsi="Helvetica" w:cs="Times New Roman"/>
          <w:sz w:val="22"/>
          <w:szCs w:val="22"/>
          <w:lang w:eastAsia="en-GB"/>
        </w:rPr>
        <w:t>ns for general composite waste</w:t>
      </w:r>
      <w:r w:rsidR="00A17B85">
        <w:rPr>
          <w:rFonts w:ascii="Helvetica" w:eastAsia="Times New Roman" w:hAnsi="Helvetica" w:cs="Times New Roman"/>
          <w:sz w:val="22"/>
          <w:szCs w:val="22"/>
          <w:lang w:eastAsia="en-GB"/>
        </w:rPr>
        <w:t xml:space="preserve"> </w:t>
      </w:r>
      <w:r w:rsidR="00107EB7">
        <w:rPr>
          <w:rFonts w:ascii="Helvetica" w:eastAsia="Times New Roman" w:hAnsi="Helvetica" w:cs="Times New Roman"/>
          <w:sz w:val="22"/>
          <w:szCs w:val="22"/>
          <w:lang w:eastAsia="en-GB"/>
        </w:rPr>
        <w:fldChar w:fldCharType="begin" w:fldLock="1"/>
      </w:r>
      <w:r w:rsidR="00756569">
        <w:rPr>
          <w:rFonts w:ascii="Helvetica" w:eastAsia="Times New Roman" w:hAnsi="Helvetica" w:cs="Times New Roman"/>
          <w:sz w:val="22"/>
          <w:szCs w:val="22"/>
          <w:lang w:eastAsia="en-GB"/>
        </w:rPr>
        <w:instrText>ADDIN CSL_CITATION {"citationItems":[{"id":"ITEM-1","itemData":{"DOI":"10.1016/j.resconrec.2018.04.013","ISBN":"0921-3449","ISSN":"18790658","abstract":"The rapid utilization of carbon fibre reinforced composite (CFRC) and glass fibre reinforced composite (GFRC) in main sectors, such as automobile, aerospace, wind turbines, boats and sport parts, has gained much attention because of its high strength, light weight and impressive mechanical properties. Currently, the increasing amount and handling of composite waste at their end-of-life (EoL) has a negative impact on resources conservation and the environment. Pyrolysis, a two-step process, appeared as most viable process to recover not only valuable materials but also produce fuel and chemicals. However, the testing facilities and optimized operation of composite waste in pyrolysis processes to produce materials with low energy consumption and acceptable mechanical properties are still under development and discussion before commercialization. The aim of this article is to review the studies on CFRC/GFRC recycling via pyrolysis processes and highlight their technical challenges and re-use possibilities in high performance composites. The forthcoming commercialization challenges and respective market potential to recyclates using the pyrolysis process will be addressed. This study will also introduce the strong connection between recycling and re-usability of fibres which would help to explain the concept of circular economy and cradle-to-cradle approach. Finally, based on updated studies and critical analysis, research gaps in the recycling treatments of fibrous composite waste using pyrolysis processes are discussed with recommendations.","author":[{"dropping-particle":"","family":"Naqvi","given":"S. R.","non-dropping-particle":"","parse-names":false,"suffix":""},{"dropping-particle":"","family":"Prabhakara","given":"H. Mysore","non-dropping-particle":"","parse-names":false,"suffix":""},{"dropping-particle":"","family":"Bramer","given":"E. A.","non-dropping-particle":"","parse-names":false,"suffix":""},{"dropping-particle":"","family":"Dierkes","given":"W.","non-dropping-particle":"","parse-names":false,"suffix":""},{"dropping-particle":"","family":"Akkerman","given":"R.","non-dropping-particle":"","parse-names":false,"suffix":""},{"dropping-particle":"","family":"Brem","given":"G.","non-dropping-particle":"","parse-names":false,"suffix":""}],"container-title":"Resources, Conservation and Recycling","id":"ITEM-1","issued":{"date-parts":[["2018"]]},"page":"118-129","title":"A critical review on recycling of end-of-life carbon fibre/glass fibre reinforced composites waste using pyrolysis towards a circular economy","type":"article-journal","volume":"136"},"uris":["http://www.mendeley.com/documents/?uuid=24fb5c37-bd4b-41ea-87fc-4a92a7ffec70"]},{"id":"ITEM-2","itemData":{"DOI":"10.1016/j.jclepro.2018.05.238","ISSN":"09596526","abstract":"Within the framework of recycling and reusing carbon fibre, this study focused on the fabrication of a thermoelectric composite encompassing recycled carbon fibre and two thermoelectric fillers (i) bismuth telluride and (ii) bismuth sulphide. This study investigated the effect of the concentration of bismuth telluride and bismuth sulphide fillers respectively on the thermoelectric, morphology, structural and thermal stability of the recycled carbon fibre thermoelectric composites. The optimum thermoelectric filler concentration is 45 wt% for both fillers, which resulted in a power factor of 0.194 ± 9.70 × 10−3μWK−2m−1and 0.0941 ± 4.71 × 10−3μWK−2m−1for recycled carbon fibre-bismuth telluride and recycled carbon fibre-bismuth sulphide composites respectively. This study exhibited the energy harvesting capabilities of recycled carbon fibre composites from low grade waste heat when coated with thermoelectric materials.","author":[{"dropping-particle":"","family":"Jagadish","given":"Priyanka R.","non-dropping-particle":"","parse-names":false,"suffix":""},{"dropping-particle":"","family":"Khalid","given":"Mohammad","non-dropping-particle":"","parse-names":false,"suffix":""},{"dropping-particle":"","family":"Li","given":"Lau Phei","non-dropping-particle":"","parse-names":false,"suffix":""},{"dropping-particle":"","family":"Hajibeigy","given":"Mohammad Taghi","non-dropping-particle":"","parse-names":false,"suffix":""},{"dropping-particle":"","family":"Amin","given":"Nowshad","non-dropping-particle":"","parse-names":false,"suffix":""},{"dropping-particle":"","family":"Walvekar","given":"Rashmi","non-dropping-particle":"","parse-names":false,"suffix":""},{"dropping-particle":"","family":"Chan","given":"Andy","non-dropping-particle":"","parse-names":false,"suffix":""}],"container-title":"Journal of Cleaner Production","id":"ITEM-2","issued":{"date-parts":[["2018"]]},"page":"1015-1025","title":"Cost effective thermoelectric composites from recycled carbon fibre: From waste to energy","type":"article-journal","volume":"195"},"uris":["http://www.mendeley.com/documents/?uuid=57585178-6a5d-440c-b6d1-4ddf817542e6"]},{"id":"ITEM-3","itemData":{"DOI":"10.1016/j.jclepro.2016.03.139","ISBN":"0959-6526","ISSN":"09596526","abstract":"Recovering value from carbon fibre reinforced polymers waste can help to address the high cost and environmental burden of producing carbon fibres, but there is limited understanding of the cost and environmental implications of potential recycling technologies. The objective of this study is to assess the environmental and financial viability of mechanical recycling of carbon fibre composite waste. Life cycle costing and environmental assessment models are developed to quantify the financial and environmental impacts of alternative composite waste treatment routes, comparing landfilling, incineration with energy recovery, and mechanical recycling in a UK context. Current Landfill Tax results in incineration becoming the lowest cost composite waste treatment option; however, incineration is associated with high greenhouse gas emissions as carbon released from composite waste during combustion exceeds CO2 emissions savings from displacing UK electricity and/or heat generation, resulting in a net greenhouse gas emissions source. Mechanical recycling and fibre reuse to displace virgin glass fibre can provide the greatest greenhouse gas emissions reductions of the treatment routes considered (???378??kg??CO2??eq./t composite waste), provided residual recyclates are landfilled rather than incinerated. However, this pathway is found to be unfeasible due to its high cost, which exceeds ??2500/t composite waste ($3750/t composite waste). The financial performance of mechanical recycling is impaired by the high costs of dismantling and recycling processes; low carbon fibre recovery rate; and low value of likely markets. To be viable, carbon fibre recycling processes must achieve near-100% fibre recover rates and minimise the degradation of fibre mechanical properties to enable higher value applications (e.g., virgin carbon fibre displacement). On-going development of carbon fibre recovery technologies and composite manufacturing techniques using recycled carbon fibres leading to improved material properties is therefore critical to ensuring financial viability and environmental benefit of carbon fibre reinforced polymer recycling.","author":[{"dropping-particle":"","family":"Li","given":"Xiang","non-dropping-particle":"","parse-names":false,"suffix":""},{"dropping-particle":"","family":"Bai","given":"Ruibin","non-dropping-particle":"","parse-names":false,"suffix":""},{"dropping-particle":"","family":"McKechnie","given":"Jon","non-dropping-particle":"","parse-names":false,"suffix":""}],"container-title":"Journal of Cleaner Production","id":"ITEM-3","issued":{"date-parts":[["2016"]]},"page":"451-460","publisher":"Elsevier Ltd","title":"Environmental and financial performance of mechanical recycling of carbon fibre reinforced polymers and comparison with conventional disposal routes","type":"article-journal","volume":"127"},"uris":["http://www.mendeley.com/documents/?uuid=1d10868d-7544-44c6-9d72-8292b0cf9417"]}],"mendeley":{"formattedCitation":"(Jagadish et al., 2018; Li et al., 2016; Naqvi et al., 2018)","plainTextFormattedCitation":"(Jagadish et al., 2018; Li et al., 2016; Naqvi et al., 2018)","previouslyFormattedCitation":"(Jagadish et al., 2018; Li et al., 2016; Naqvi et al., 2018)"},"properties":{"noteIndex":0},"schema":"https://github.com/citation-style-language/schema/raw/master/csl-citation.json"}</w:instrText>
      </w:r>
      <w:r w:rsidR="00107EB7">
        <w:rPr>
          <w:rFonts w:ascii="Helvetica" w:eastAsia="Times New Roman" w:hAnsi="Helvetica" w:cs="Times New Roman"/>
          <w:sz w:val="22"/>
          <w:szCs w:val="22"/>
          <w:lang w:eastAsia="en-GB"/>
        </w:rPr>
        <w:fldChar w:fldCharType="separate"/>
      </w:r>
      <w:r w:rsidR="00A17B85" w:rsidRPr="00A17B85">
        <w:rPr>
          <w:rFonts w:ascii="Helvetica" w:eastAsia="Times New Roman" w:hAnsi="Helvetica" w:cs="Times New Roman"/>
          <w:noProof/>
          <w:sz w:val="22"/>
          <w:szCs w:val="22"/>
          <w:lang w:eastAsia="en-GB"/>
        </w:rPr>
        <w:t>(Jagadish et al., 2018; Li et al., 2016; Naqvi et al., 2018)</w:t>
      </w:r>
      <w:r w:rsidR="00107EB7">
        <w:rPr>
          <w:rFonts w:ascii="Helvetica" w:eastAsia="Times New Roman" w:hAnsi="Helvetica" w:cs="Times New Roman"/>
          <w:sz w:val="22"/>
          <w:szCs w:val="22"/>
          <w:lang w:eastAsia="en-GB"/>
        </w:rPr>
        <w:fldChar w:fldCharType="end"/>
      </w:r>
      <w:r w:rsidR="002C5A67">
        <w:rPr>
          <w:rFonts w:ascii="Helvetica" w:eastAsia="Times New Roman" w:hAnsi="Helvetica" w:cs="Times New Roman"/>
          <w:sz w:val="22"/>
          <w:szCs w:val="22"/>
          <w:lang w:eastAsia="en-GB"/>
        </w:rPr>
        <w:t>.</w:t>
      </w:r>
      <w:r w:rsidRPr="002A6DBD">
        <w:rPr>
          <w:rFonts w:ascii="Helvetica" w:eastAsia="Times New Roman" w:hAnsi="Helvetica" w:cs="Times New Roman"/>
          <w:sz w:val="22"/>
          <w:szCs w:val="22"/>
          <w:lang w:eastAsia="en-GB"/>
        </w:rPr>
        <w:t xml:space="preserve"> In a comparative</w:t>
      </w:r>
      <w:r w:rsidR="00DB161F">
        <w:rPr>
          <w:rFonts w:ascii="Helvetica" w:eastAsia="Times New Roman" w:hAnsi="Helvetica" w:cs="Times New Roman"/>
          <w:sz w:val="22"/>
          <w:szCs w:val="22"/>
          <w:lang w:eastAsia="en-GB"/>
        </w:rPr>
        <w:t xml:space="preserve">ly early study, </w:t>
      </w:r>
      <w:proofErr w:type="spellStart"/>
      <w:r w:rsidR="00AD7503">
        <w:rPr>
          <w:rFonts w:ascii="Helvetica" w:eastAsia="Times New Roman" w:hAnsi="Helvetica" w:cs="Times New Roman"/>
          <w:sz w:val="22"/>
          <w:szCs w:val="22"/>
          <w:lang w:eastAsia="en-GB"/>
        </w:rPr>
        <w:t>Halliwell</w:t>
      </w:r>
      <w:proofErr w:type="spellEnd"/>
      <w:r w:rsidR="002058DA">
        <w:rPr>
          <w:rFonts w:ascii="Helvetica" w:eastAsia="Times New Roman" w:hAnsi="Helvetica" w:cs="Times New Roman"/>
          <w:sz w:val="22"/>
          <w:szCs w:val="22"/>
          <w:lang w:eastAsia="en-GB"/>
        </w:rPr>
        <w:t xml:space="preserve"> (2006)</w:t>
      </w:r>
      <w:r w:rsidR="00AD7503">
        <w:rPr>
          <w:rFonts w:ascii="Helvetica" w:eastAsia="Times New Roman" w:hAnsi="Helvetica" w:cs="Times New Roman"/>
          <w:sz w:val="22"/>
          <w:szCs w:val="22"/>
          <w:lang w:eastAsia="en-GB"/>
        </w:rPr>
        <w:t xml:space="preserve"> </w:t>
      </w:r>
      <w:r w:rsidR="005D0F41">
        <w:rPr>
          <w:rFonts w:ascii="Helvetica" w:eastAsia="Times New Roman" w:hAnsi="Helvetica" w:cs="Times New Roman"/>
          <w:sz w:val="22"/>
          <w:szCs w:val="22"/>
          <w:lang w:eastAsia="en-GB"/>
        </w:rPr>
        <w:t>raised awareness of the</w:t>
      </w:r>
      <w:r w:rsidRPr="002A6DBD">
        <w:rPr>
          <w:rFonts w:ascii="Helvetica" w:eastAsia="Times New Roman" w:hAnsi="Helvetica" w:cs="Times New Roman"/>
          <w:sz w:val="22"/>
          <w:szCs w:val="22"/>
          <w:lang w:eastAsia="en-GB"/>
        </w:rPr>
        <w:t xml:space="preserve"> environmental problem </w:t>
      </w:r>
      <w:r w:rsidR="005D0F41">
        <w:rPr>
          <w:rFonts w:ascii="Helvetica" w:eastAsia="Times New Roman" w:hAnsi="Helvetica" w:cs="Times New Roman"/>
          <w:sz w:val="22"/>
          <w:szCs w:val="22"/>
          <w:lang w:eastAsia="en-GB"/>
        </w:rPr>
        <w:t>arising from</w:t>
      </w:r>
      <w:r w:rsidRPr="002A6DBD">
        <w:rPr>
          <w:rFonts w:ascii="Helvetica" w:eastAsia="Times New Roman" w:hAnsi="Helvetica" w:cs="Times New Roman"/>
          <w:sz w:val="22"/>
          <w:szCs w:val="22"/>
          <w:lang w:eastAsia="en-GB"/>
        </w:rPr>
        <w:t xml:space="preserve"> composite used in </w:t>
      </w:r>
      <w:r w:rsidRPr="00161BB2">
        <w:rPr>
          <w:rFonts w:ascii="Helvetica" w:eastAsia="Times New Roman" w:hAnsi="Helvetica" w:cs="Times New Roman"/>
          <w:sz w:val="22"/>
          <w:szCs w:val="22"/>
          <w:lang w:eastAsia="en-GB"/>
        </w:rPr>
        <w:t xml:space="preserve">vehicles. </w:t>
      </w:r>
      <w:r w:rsidR="002317E3" w:rsidRPr="00161BB2">
        <w:rPr>
          <w:rFonts w:ascii="Helvetica" w:hAnsi="Helvetica" w:cs="Times New Roman"/>
          <w:sz w:val="22"/>
          <w:szCs w:val="22"/>
        </w:rPr>
        <w:t>Sh</w:t>
      </w:r>
      <w:r w:rsidR="005D0F41" w:rsidRPr="00161BB2">
        <w:rPr>
          <w:rFonts w:ascii="Helvetica" w:eastAsia="Times New Roman" w:hAnsi="Helvetica" w:cs="Times New Roman"/>
          <w:sz w:val="22"/>
          <w:szCs w:val="22"/>
          <w:lang w:eastAsia="en-GB"/>
        </w:rPr>
        <w:t>e pointed</w:t>
      </w:r>
      <w:r w:rsidR="005D0F41">
        <w:rPr>
          <w:rFonts w:ascii="Helvetica" w:eastAsia="Times New Roman" w:hAnsi="Helvetica" w:cs="Times New Roman"/>
          <w:sz w:val="22"/>
          <w:szCs w:val="22"/>
          <w:lang w:eastAsia="en-GB"/>
        </w:rPr>
        <w:t xml:space="preserve"> out that</w:t>
      </w:r>
      <w:r w:rsidR="005D0F41" w:rsidRPr="002A6DBD">
        <w:rPr>
          <w:rFonts w:ascii="Helvetica" w:eastAsia="Times New Roman" w:hAnsi="Helvetica" w:cs="Times New Roman"/>
          <w:sz w:val="22"/>
          <w:szCs w:val="22"/>
          <w:lang w:eastAsia="en-GB"/>
        </w:rPr>
        <w:t xml:space="preserve"> </w:t>
      </w:r>
      <w:r w:rsidR="00AD7503">
        <w:rPr>
          <w:rFonts w:ascii="Helvetica" w:eastAsia="Times New Roman" w:hAnsi="Helvetica" w:cs="Times New Roman"/>
          <w:sz w:val="22"/>
          <w:szCs w:val="22"/>
          <w:lang w:eastAsia="en-GB"/>
        </w:rPr>
        <w:t>volumes</w:t>
      </w:r>
      <w:r w:rsidR="005D0F41" w:rsidRPr="002A6DBD">
        <w:rPr>
          <w:rFonts w:ascii="Helvetica" w:eastAsia="Times New Roman" w:hAnsi="Helvetica" w:cs="Times New Roman"/>
          <w:sz w:val="22"/>
          <w:szCs w:val="22"/>
          <w:lang w:eastAsia="en-GB"/>
        </w:rPr>
        <w:t xml:space="preserve"> of composite</w:t>
      </w:r>
      <w:r w:rsidR="00AD7503">
        <w:rPr>
          <w:rFonts w:ascii="Helvetica" w:eastAsia="Times New Roman" w:hAnsi="Helvetica" w:cs="Times New Roman"/>
          <w:sz w:val="22"/>
          <w:szCs w:val="22"/>
          <w:lang w:eastAsia="en-GB"/>
        </w:rPr>
        <w:t xml:space="preserve"> </w:t>
      </w:r>
      <w:r w:rsidR="005D0F41">
        <w:rPr>
          <w:rFonts w:ascii="Helvetica" w:eastAsia="Times New Roman" w:hAnsi="Helvetica" w:cs="Times New Roman"/>
          <w:sz w:val="22"/>
          <w:szCs w:val="22"/>
          <w:lang w:eastAsia="en-GB"/>
        </w:rPr>
        <w:t>in the automobile industry would</w:t>
      </w:r>
      <w:r w:rsidR="005D0F41" w:rsidRPr="002A6DBD">
        <w:rPr>
          <w:rFonts w:ascii="Helvetica" w:eastAsia="Times New Roman" w:hAnsi="Helvetica" w:cs="Times New Roman"/>
          <w:sz w:val="22"/>
          <w:szCs w:val="22"/>
          <w:lang w:eastAsia="en-GB"/>
        </w:rPr>
        <w:t xml:space="preserve"> rapidly increase</w:t>
      </w:r>
      <w:r w:rsidR="005D0F41">
        <w:rPr>
          <w:rFonts w:ascii="Helvetica" w:eastAsia="Times New Roman" w:hAnsi="Helvetica" w:cs="Times New Roman"/>
          <w:sz w:val="22"/>
          <w:szCs w:val="22"/>
          <w:lang w:eastAsia="en-GB"/>
        </w:rPr>
        <w:t xml:space="preserve"> a</w:t>
      </w:r>
      <w:r w:rsidR="005D0F41" w:rsidRPr="002A6DBD">
        <w:rPr>
          <w:rFonts w:ascii="Helvetica" w:eastAsia="Times New Roman" w:hAnsi="Helvetica" w:cs="Times New Roman"/>
          <w:sz w:val="22"/>
          <w:szCs w:val="22"/>
          <w:lang w:eastAsia="en-GB"/>
        </w:rPr>
        <w:t>s</w:t>
      </w:r>
      <w:r w:rsidRPr="002A6DBD">
        <w:rPr>
          <w:rFonts w:ascii="Helvetica" w:eastAsia="Times New Roman" w:hAnsi="Helvetica" w:cs="Times New Roman"/>
          <w:sz w:val="22"/>
          <w:szCs w:val="22"/>
          <w:lang w:eastAsia="en-GB"/>
        </w:rPr>
        <w:t xml:space="preserve"> CFRP move</w:t>
      </w:r>
      <w:r w:rsidR="00AD7503">
        <w:rPr>
          <w:rFonts w:ascii="Helvetica" w:eastAsia="Times New Roman" w:hAnsi="Helvetica" w:cs="Times New Roman"/>
          <w:sz w:val="22"/>
          <w:szCs w:val="22"/>
          <w:lang w:eastAsia="en-GB"/>
        </w:rPr>
        <w:t>d</w:t>
      </w:r>
      <w:r w:rsidR="00AD7503" w:rsidRPr="002A6DBD">
        <w:rPr>
          <w:rFonts w:ascii="Helvetica" w:eastAsia="Times New Roman" w:hAnsi="Helvetica" w:cs="Times New Roman"/>
          <w:sz w:val="22"/>
          <w:szCs w:val="22"/>
          <w:lang w:eastAsia="en-GB"/>
        </w:rPr>
        <w:t xml:space="preserve"> to large volume production cars</w:t>
      </w:r>
      <w:r w:rsidRPr="002A6DBD">
        <w:rPr>
          <w:rFonts w:ascii="Helvetica" w:eastAsia="Times New Roman" w:hAnsi="Helvetica" w:cs="Times New Roman"/>
          <w:sz w:val="22"/>
          <w:szCs w:val="22"/>
          <w:lang w:eastAsia="en-GB"/>
        </w:rPr>
        <w:t xml:space="preserve"> from </w:t>
      </w:r>
      <w:r w:rsidR="00AD7503">
        <w:rPr>
          <w:rFonts w:ascii="Helvetica" w:eastAsia="Times New Roman" w:hAnsi="Helvetica" w:cs="Times New Roman"/>
          <w:sz w:val="22"/>
          <w:szCs w:val="22"/>
          <w:lang w:eastAsia="en-GB"/>
        </w:rPr>
        <w:t xml:space="preserve">being used only in </w:t>
      </w:r>
      <w:r w:rsidRPr="002A6DBD">
        <w:rPr>
          <w:rFonts w:ascii="Helvetica" w:eastAsia="Times New Roman" w:hAnsi="Helvetica" w:cs="Times New Roman"/>
          <w:sz w:val="22"/>
          <w:szCs w:val="22"/>
          <w:lang w:eastAsia="en-GB"/>
        </w:rPr>
        <w:t>racing and high performance cars, and the concomitant waste problem w</w:t>
      </w:r>
      <w:r w:rsidR="00AD7503">
        <w:rPr>
          <w:rFonts w:ascii="Helvetica" w:eastAsia="Times New Roman" w:hAnsi="Helvetica" w:cs="Times New Roman"/>
          <w:sz w:val="22"/>
          <w:szCs w:val="22"/>
          <w:lang w:eastAsia="en-GB"/>
        </w:rPr>
        <w:t>ould</w:t>
      </w:r>
      <w:r w:rsidRPr="002A6DBD">
        <w:rPr>
          <w:rFonts w:ascii="Helvetica" w:eastAsia="Times New Roman" w:hAnsi="Helvetica" w:cs="Times New Roman"/>
          <w:sz w:val="22"/>
          <w:szCs w:val="22"/>
          <w:lang w:eastAsia="en-GB"/>
        </w:rPr>
        <w:t xml:space="preserve"> become increasingly serious. </w:t>
      </w:r>
      <w:proofErr w:type="spellStart"/>
      <w:r w:rsidRPr="002A6DBD">
        <w:rPr>
          <w:rFonts w:ascii="Helvetica" w:eastAsia="Times New Roman" w:hAnsi="Helvetica" w:cs="Times New Roman"/>
          <w:sz w:val="22"/>
          <w:szCs w:val="22"/>
          <w:lang w:eastAsia="en-GB"/>
        </w:rPr>
        <w:t>Halliwell</w:t>
      </w:r>
      <w:proofErr w:type="spellEnd"/>
      <w:r w:rsidRPr="002A6DBD">
        <w:rPr>
          <w:rFonts w:ascii="Helvetica" w:eastAsia="Times New Roman" w:hAnsi="Helvetica" w:cs="Times New Roman"/>
          <w:sz w:val="22"/>
          <w:szCs w:val="22"/>
          <w:lang w:eastAsia="en-GB"/>
        </w:rPr>
        <w:t xml:space="preserve"> reviewed the </w:t>
      </w:r>
      <w:proofErr w:type="spellStart"/>
      <w:r w:rsidRPr="002A6DBD">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options including landfill, incineration, mechanical recycling, fluidised-bed </w:t>
      </w:r>
      <w:r w:rsidR="001005CA">
        <w:rPr>
          <w:rFonts w:ascii="Helvetica" w:eastAsia="Times New Roman" w:hAnsi="Helvetica" w:cs="Times New Roman"/>
          <w:sz w:val="22"/>
          <w:szCs w:val="22"/>
          <w:lang w:eastAsia="en-GB"/>
        </w:rPr>
        <w:t xml:space="preserve">recycling </w:t>
      </w:r>
      <w:r w:rsidRPr="002A6DBD">
        <w:rPr>
          <w:rFonts w:ascii="Helvetica" w:eastAsia="Times New Roman" w:hAnsi="Helvetica" w:cs="Times New Roman"/>
          <w:sz w:val="22"/>
          <w:szCs w:val="22"/>
          <w:lang w:eastAsia="en-GB"/>
        </w:rPr>
        <w:t xml:space="preserve">and pyrolysis </w:t>
      </w:r>
      <w:r w:rsidR="001005CA">
        <w:rPr>
          <w:rFonts w:ascii="Helvetica" w:eastAsia="Times New Roman" w:hAnsi="Helvetica" w:cs="Times New Roman"/>
          <w:sz w:val="22"/>
          <w:szCs w:val="22"/>
          <w:lang w:eastAsia="en-GB"/>
        </w:rPr>
        <w:t xml:space="preserve">recycling processes </w:t>
      </w:r>
      <w:r w:rsidRPr="002A6DBD">
        <w:rPr>
          <w:rFonts w:ascii="Helvetica" w:eastAsia="Times New Roman" w:hAnsi="Helvetica" w:cs="Times New Roman"/>
          <w:sz w:val="22"/>
          <w:szCs w:val="22"/>
          <w:lang w:eastAsia="en-GB"/>
        </w:rPr>
        <w:t xml:space="preserve">and </w:t>
      </w:r>
      <w:r w:rsidR="00AD7503">
        <w:rPr>
          <w:rFonts w:ascii="Helvetica" w:eastAsia="Times New Roman" w:hAnsi="Helvetica" w:cs="Times New Roman"/>
          <w:sz w:val="22"/>
          <w:szCs w:val="22"/>
          <w:lang w:eastAsia="en-GB"/>
        </w:rPr>
        <w:t>suggest</w:t>
      </w:r>
      <w:r w:rsidR="00AD7503" w:rsidRPr="002A6DBD">
        <w:rPr>
          <w:rFonts w:ascii="Helvetica" w:eastAsia="Times New Roman" w:hAnsi="Helvetica" w:cs="Times New Roman"/>
          <w:sz w:val="22"/>
          <w:szCs w:val="22"/>
          <w:lang w:eastAsia="en-GB"/>
        </w:rPr>
        <w:t xml:space="preserve">ed </w:t>
      </w:r>
      <w:r w:rsidRPr="002A6DBD">
        <w:rPr>
          <w:rFonts w:ascii="Helvetica" w:eastAsia="Times New Roman" w:hAnsi="Helvetica" w:cs="Times New Roman"/>
          <w:sz w:val="22"/>
          <w:szCs w:val="22"/>
          <w:lang w:eastAsia="en-GB"/>
        </w:rPr>
        <w:t xml:space="preserve">that </w:t>
      </w:r>
      <w:r w:rsidRPr="002A6DBD">
        <w:rPr>
          <w:rFonts w:ascii="Helvetica" w:eastAsia="Times New Roman" w:hAnsi="Helvetica" w:cs="Times New Roman"/>
          <w:color w:val="000000"/>
          <w:sz w:val="22"/>
          <w:szCs w:val="22"/>
          <w:lang w:eastAsia="en-GB"/>
        </w:rPr>
        <w:t>s</w:t>
      </w:r>
      <w:r w:rsidRPr="002A6DBD">
        <w:rPr>
          <w:rFonts w:ascii="Helvetica" w:eastAsia="Hannotate TC" w:hAnsi="Helvetica" w:cs="Hannotate SC Regular"/>
          <w:color w:val="000000"/>
          <w:sz w:val="22"/>
          <w:szCs w:val="22"/>
          <w:lang w:eastAsia="en-GB"/>
        </w:rPr>
        <w:t xml:space="preserve">uccessful composite recycling requires incentives, infrastructure, recycling techniques and market commitment. The major barrier for composite recycling at that time was </w:t>
      </w:r>
      <w:r w:rsidR="000430CE">
        <w:rPr>
          <w:rFonts w:ascii="Helvetica" w:eastAsia="Hannotate TC" w:hAnsi="Helvetica" w:cs="Hannotate SC Regular"/>
          <w:color w:val="000000"/>
          <w:sz w:val="22"/>
          <w:szCs w:val="22"/>
          <w:lang w:eastAsia="en-GB"/>
        </w:rPr>
        <w:t xml:space="preserve">identified as </w:t>
      </w:r>
      <w:r w:rsidRPr="002A6DBD">
        <w:rPr>
          <w:rFonts w:ascii="Helvetica" w:eastAsia="Hannotate TC" w:hAnsi="Helvetica" w:cs="Hannotate SC Regular"/>
          <w:color w:val="000000"/>
          <w:sz w:val="22"/>
          <w:szCs w:val="22"/>
          <w:lang w:eastAsia="en-GB"/>
        </w:rPr>
        <w:t xml:space="preserve">the low market demand for recyclate. </w:t>
      </w:r>
      <w:r w:rsidRPr="002A6DBD">
        <w:rPr>
          <w:rFonts w:ascii="Helvetica" w:eastAsia="Hannotate TC" w:hAnsi="Helvetica" w:cs="Hannotate SC Regular" w:hint="eastAsia"/>
          <w:color w:val="000000"/>
          <w:sz w:val="22"/>
          <w:szCs w:val="22"/>
          <w:lang w:eastAsia="en-GB"/>
        </w:rPr>
        <w:t>Pickering</w:t>
      </w:r>
      <w:r w:rsidRPr="002A6DBD">
        <w:rPr>
          <w:rFonts w:ascii="Helvetica" w:eastAsia="Hannotate TC" w:hAnsi="Helvetica" w:cs="Hannotate SC Regular"/>
          <w:color w:val="000000"/>
          <w:sz w:val="22"/>
          <w:szCs w:val="22"/>
          <w:lang w:eastAsia="en-GB"/>
        </w:rPr>
        <w:t xml:space="preserve"> (2006)</w:t>
      </w:r>
      <w:r w:rsidRPr="002A6DBD">
        <w:rPr>
          <w:rFonts w:ascii="Helvetica" w:eastAsia="Hannotate TC" w:hAnsi="Helvetica" w:cs="Hannotate SC Regular" w:hint="eastAsia"/>
          <w:color w:val="000000"/>
          <w:sz w:val="22"/>
          <w:szCs w:val="22"/>
          <w:lang w:eastAsia="en-GB"/>
        </w:rPr>
        <w:t xml:space="preserve"> reviewed the </w:t>
      </w:r>
      <w:proofErr w:type="spellStart"/>
      <w:r w:rsidRPr="002A6DBD">
        <w:rPr>
          <w:rFonts w:ascii="Helvetica" w:eastAsia="Hannotate TC" w:hAnsi="Helvetica" w:cs="Hannotate SC Regular" w:hint="eastAsia"/>
          <w:color w:val="000000"/>
          <w:sz w:val="22"/>
          <w:szCs w:val="22"/>
          <w:lang w:eastAsia="en-GB"/>
        </w:rPr>
        <w:t>EoL</w:t>
      </w:r>
      <w:proofErr w:type="spellEnd"/>
      <w:r w:rsidRPr="002A6DBD">
        <w:rPr>
          <w:rFonts w:ascii="Helvetica" w:eastAsia="Hannotate TC" w:hAnsi="Helvetica" w:cs="Hannotate SC Regular" w:hint="eastAsia"/>
          <w:color w:val="000000"/>
          <w:sz w:val="22"/>
          <w:szCs w:val="22"/>
          <w:lang w:eastAsia="en-GB"/>
        </w:rPr>
        <w:t xml:space="preserve"> options </w:t>
      </w:r>
      <w:r w:rsidRPr="002A6DBD">
        <w:rPr>
          <w:rFonts w:ascii="Helvetica" w:eastAsia="Hannotate TC" w:hAnsi="Helvetica" w:cs="Hannotate SC Regular"/>
          <w:color w:val="000000"/>
          <w:sz w:val="22"/>
          <w:szCs w:val="22"/>
          <w:lang w:eastAsia="en-GB"/>
        </w:rPr>
        <w:t xml:space="preserve">from a technical </w:t>
      </w:r>
      <w:r w:rsidR="0054477A">
        <w:rPr>
          <w:rFonts w:ascii="Helvetica" w:eastAsia="Hannotate TC" w:hAnsi="Helvetica" w:cs="Hannotate SC Regular"/>
          <w:color w:val="000000"/>
          <w:sz w:val="22"/>
          <w:szCs w:val="22"/>
          <w:lang w:eastAsia="en-GB"/>
        </w:rPr>
        <w:t>per</w:t>
      </w:r>
      <w:r w:rsidR="0054477A" w:rsidRPr="002A6DBD">
        <w:rPr>
          <w:rFonts w:ascii="Helvetica" w:eastAsia="Hannotate TC" w:hAnsi="Helvetica" w:cs="Hannotate SC Regular"/>
          <w:color w:val="000000"/>
          <w:sz w:val="22"/>
          <w:szCs w:val="22"/>
          <w:lang w:eastAsia="en-GB"/>
        </w:rPr>
        <w:t>spective</w:t>
      </w:r>
      <w:r w:rsidRPr="002A6DBD">
        <w:rPr>
          <w:rFonts w:ascii="Helvetica" w:eastAsia="Hannotate TC" w:hAnsi="Helvetica" w:cs="Hannotate SC Regular"/>
          <w:color w:val="000000"/>
          <w:sz w:val="22"/>
          <w:szCs w:val="22"/>
          <w:lang w:eastAsia="en-GB"/>
        </w:rPr>
        <w:t xml:space="preserve"> and stated that, due</w:t>
      </w:r>
      <w:r w:rsidR="00392B03">
        <w:rPr>
          <w:rFonts w:ascii="Helvetica" w:eastAsia="Hannotate TC" w:hAnsi="Helvetica" w:cs="Hannotate SC Regular"/>
          <w:color w:val="000000"/>
          <w:sz w:val="22"/>
          <w:szCs w:val="22"/>
          <w:lang w:eastAsia="en-GB"/>
        </w:rPr>
        <w:t xml:space="preserve"> to</w:t>
      </w:r>
      <w:r w:rsidRPr="002A6DBD">
        <w:rPr>
          <w:rFonts w:ascii="Helvetica" w:eastAsia="Hannotate TC" w:hAnsi="Helvetica" w:cs="Hannotate SC Regular"/>
          <w:color w:val="000000"/>
          <w:sz w:val="22"/>
          <w:szCs w:val="22"/>
          <w:lang w:eastAsia="en-GB"/>
        </w:rPr>
        <w:t xml:space="preserve"> the major barrier in composite recycling being the significant performance loss of recyclate, the low value of recyclate result</w:t>
      </w:r>
      <w:r w:rsidR="00761FD3">
        <w:rPr>
          <w:rFonts w:ascii="Helvetica" w:eastAsia="Hannotate TC" w:hAnsi="Helvetica" w:cs="Hannotate SC Regular"/>
          <w:color w:val="000000"/>
          <w:sz w:val="22"/>
          <w:szCs w:val="22"/>
          <w:lang w:eastAsia="en-GB"/>
        </w:rPr>
        <w:t>ed</w:t>
      </w:r>
      <w:r w:rsidRPr="002A6DBD">
        <w:rPr>
          <w:rFonts w:ascii="Helvetica" w:eastAsia="Hannotate TC" w:hAnsi="Helvetica" w:cs="Hannotate SC Regular"/>
          <w:color w:val="000000"/>
          <w:sz w:val="22"/>
          <w:szCs w:val="22"/>
          <w:lang w:eastAsia="en-GB"/>
        </w:rPr>
        <w:t xml:space="preserve"> in a weak economic incentive to recycle. He held that new legislation or supportive policies </w:t>
      </w:r>
      <w:r w:rsidR="00761FD3">
        <w:rPr>
          <w:rFonts w:ascii="Helvetica" w:eastAsia="Hannotate TC" w:hAnsi="Helvetica" w:cs="Hannotate SC Regular"/>
          <w:color w:val="000000"/>
          <w:sz w:val="22"/>
          <w:szCs w:val="22"/>
          <w:lang w:eastAsia="en-GB"/>
        </w:rPr>
        <w:t>would be</w:t>
      </w:r>
      <w:r w:rsidR="00761FD3" w:rsidRPr="002A6DBD">
        <w:rPr>
          <w:rFonts w:ascii="Helvetica" w:eastAsia="Hannotate TC" w:hAnsi="Helvetica" w:cs="Hannotate SC Regular"/>
          <w:color w:val="000000"/>
          <w:sz w:val="22"/>
          <w:szCs w:val="22"/>
          <w:lang w:eastAsia="en-GB"/>
        </w:rPr>
        <w:t xml:space="preserve"> </w:t>
      </w:r>
      <w:r w:rsidRPr="002A6DBD">
        <w:rPr>
          <w:rFonts w:ascii="Helvetica" w:eastAsia="Hannotate TC" w:hAnsi="Helvetica" w:cs="Hannotate SC Regular"/>
          <w:color w:val="000000"/>
          <w:sz w:val="22"/>
          <w:szCs w:val="22"/>
          <w:lang w:eastAsia="en-GB"/>
        </w:rPr>
        <w:t>necessary to provide a driver for composite recycling. A more recent review by McConnell (2010) includes the progress in composite recycling technologies, specifically the new microwave assisted pyrolysis (MAP) and chemical recycling</w:t>
      </w:r>
      <w:r w:rsidR="001005CA" w:rsidRPr="001005CA">
        <w:rPr>
          <w:rFonts w:ascii="Helvetica" w:eastAsia="Hannotate TC" w:hAnsi="Helvetica" w:cs="Hannotate SC Regular"/>
          <w:color w:val="000000"/>
          <w:sz w:val="22"/>
          <w:szCs w:val="22"/>
          <w:lang w:eastAsia="en-GB"/>
        </w:rPr>
        <w:t xml:space="preserve"> </w:t>
      </w:r>
      <w:r w:rsidR="001005CA" w:rsidRPr="002A6DBD">
        <w:rPr>
          <w:rFonts w:ascii="Helvetica" w:eastAsia="Hannotate TC" w:hAnsi="Helvetica" w:cs="Hannotate SC Regular"/>
          <w:color w:val="000000"/>
          <w:sz w:val="22"/>
          <w:szCs w:val="22"/>
          <w:lang w:eastAsia="en-GB"/>
        </w:rPr>
        <w:t>technique</w:t>
      </w:r>
      <w:r w:rsidR="001005CA">
        <w:rPr>
          <w:rFonts w:ascii="Helvetica" w:eastAsia="Hannotate TC" w:hAnsi="Helvetica" w:cs="Hannotate SC Regular"/>
          <w:color w:val="000000"/>
          <w:sz w:val="22"/>
          <w:szCs w:val="22"/>
          <w:lang w:eastAsia="en-GB"/>
        </w:rPr>
        <w:t>s</w:t>
      </w:r>
      <w:r w:rsidRPr="002A6DBD">
        <w:rPr>
          <w:rFonts w:ascii="Helvetica" w:eastAsia="Hannotate TC" w:hAnsi="Helvetica" w:cs="Hannotate SC Regular"/>
          <w:color w:val="000000"/>
          <w:sz w:val="22"/>
          <w:szCs w:val="22"/>
          <w:lang w:eastAsia="en-GB"/>
        </w:rPr>
        <w:t xml:space="preserve">. He </w:t>
      </w:r>
      <w:r w:rsidR="00392B03" w:rsidRPr="002A6DBD">
        <w:rPr>
          <w:rFonts w:ascii="Helvetica" w:eastAsia="Hannotate TC" w:hAnsi="Helvetica" w:cs="Hannotate SC Regular"/>
          <w:color w:val="000000"/>
          <w:sz w:val="22"/>
          <w:szCs w:val="22"/>
          <w:lang w:eastAsia="en-GB"/>
        </w:rPr>
        <w:t>state</w:t>
      </w:r>
      <w:r w:rsidR="00392B03">
        <w:rPr>
          <w:rFonts w:ascii="Helvetica" w:eastAsia="Hannotate TC" w:hAnsi="Helvetica" w:cs="Hannotate SC Regular"/>
          <w:color w:val="000000"/>
          <w:sz w:val="22"/>
          <w:szCs w:val="22"/>
          <w:lang w:eastAsia="en-GB"/>
        </w:rPr>
        <w:t>d</w:t>
      </w:r>
      <w:r w:rsidR="00392B03" w:rsidRPr="002A6DBD">
        <w:rPr>
          <w:rFonts w:ascii="Helvetica" w:eastAsia="Hannotate TC" w:hAnsi="Helvetica" w:cs="Hannotate SC Regular"/>
          <w:color w:val="000000"/>
          <w:sz w:val="22"/>
          <w:szCs w:val="22"/>
          <w:lang w:eastAsia="en-GB"/>
        </w:rPr>
        <w:t xml:space="preserve"> </w:t>
      </w:r>
      <w:r w:rsidRPr="002A6DBD">
        <w:rPr>
          <w:rFonts w:ascii="Helvetica" w:eastAsia="Hannotate TC" w:hAnsi="Helvetica" w:cs="Hannotate SC Regular"/>
          <w:color w:val="000000"/>
          <w:sz w:val="22"/>
          <w:szCs w:val="22"/>
          <w:lang w:eastAsia="en-GB"/>
        </w:rPr>
        <w:t>that the new and updated technologies have enabled the launch of the</w:t>
      </w:r>
      <w:r w:rsidR="00392B03">
        <w:rPr>
          <w:rFonts w:ascii="Helvetica" w:eastAsia="Hannotate TC" w:hAnsi="Helvetica" w:cs="Hannotate SC Regular"/>
          <w:color w:val="000000"/>
          <w:sz w:val="22"/>
          <w:szCs w:val="22"/>
          <w:lang w:eastAsia="en-GB"/>
        </w:rPr>
        <w:t xml:space="preserve"> carbon fibre</w:t>
      </w:r>
      <w:r w:rsidRPr="002A6DBD">
        <w:rPr>
          <w:rFonts w:ascii="Helvetica" w:eastAsia="Hannotate TC" w:hAnsi="Helvetica" w:cs="Hannotate SC Regular"/>
          <w:color w:val="000000"/>
          <w:sz w:val="22"/>
          <w:szCs w:val="22"/>
          <w:lang w:eastAsia="en-GB"/>
        </w:rPr>
        <w:t xml:space="preserve"> </w:t>
      </w:r>
      <w:r w:rsidR="00392B03">
        <w:rPr>
          <w:rFonts w:ascii="Helvetica" w:eastAsia="Hannotate TC" w:hAnsi="Helvetica" w:cs="Hannotate SC Regular"/>
          <w:color w:val="000000"/>
          <w:sz w:val="22"/>
          <w:szCs w:val="22"/>
          <w:lang w:eastAsia="en-GB"/>
        </w:rPr>
        <w:t>(</w:t>
      </w:r>
      <w:r w:rsidRPr="002A6DBD">
        <w:rPr>
          <w:rFonts w:ascii="Helvetica" w:eastAsia="Hannotate TC" w:hAnsi="Helvetica" w:cs="Hannotate SC Regular"/>
          <w:color w:val="000000"/>
          <w:sz w:val="22"/>
          <w:szCs w:val="22"/>
          <w:lang w:eastAsia="en-GB"/>
        </w:rPr>
        <w:t>CF</w:t>
      </w:r>
      <w:r w:rsidR="00392B03">
        <w:rPr>
          <w:rFonts w:ascii="Helvetica" w:eastAsia="Hannotate TC" w:hAnsi="Helvetica" w:cs="Hannotate SC Regular"/>
          <w:color w:val="000000"/>
          <w:sz w:val="22"/>
          <w:szCs w:val="22"/>
          <w:lang w:eastAsia="en-GB"/>
        </w:rPr>
        <w:t>)</w:t>
      </w:r>
      <w:r w:rsidRPr="002A6DBD">
        <w:rPr>
          <w:rFonts w:ascii="Helvetica" w:eastAsia="Hannotate TC" w:hAnsi="Helvetica" w:cs="Hannotate SC Regular"/>
          <w:color w:val="000000"/>
          <w:sz w:val="22"/>
          <w:szCs w:val="22"/>
          <w:lang w:eastAsia="en-GB"/>
        </w:rPr>
        <w:t xml:space="preserve"> recycling industry for aviation manufacturing waste. More </w:t>
      </w:r>
      <w:r w:rsidRPr="002A6DBD">
        <w:rPr>
          <w:rFonts w:ascii="Helvetica" w:eastAsia="Hannotate TC" w:hAnsi="Helvetica" w:cs="Hannotate SC Regular" w:hint="eastAsia"/>
          <w:color w:val="000000"/>
          <w:sz w:val="22"/>
          <w:szCs w:val="22"/>
          <w:lang w:eastAsia="en-GB"/>
        </w:rPr>
        <w:t>u</w:t>
      </w:r>
      <w:r w:rsidRPr="002A6DBD">
        <w:rPr>
          <w:rFonts w:ascii="Helvetica" w:eastAsia="Hannotate TC" w:hAnsi="Helvetica" w:cs="Hannotate SC Regular"/>
          <w:color w:val="000000"/>
          <w:sz w:val="22"/>
          <w:szCs w:val="22"/>
          <w:lang w:eastAsia="en-GB"/>
        </w:rPr>
        <w:t xml:space="preserve">p-to-date research has reported on the few commercial pyrolysis </w:t>
      </w:r>
      <w:r w:rsidR="00392B03">
        <w:rPr>
          <w:rFonts w:ascii="Helvetica" w:eastAsia="Hannotate TC" w:hAnsi="Helvetica" w:cs="Hannotate SC Regular"/>
          <w:color w:val="000000"/>
          <w:sz w:val="22"/>
          <w:szCs w:val="22"/>
          <w:lang w:eastAsia="en-GB"/>
        </w:rPr>
        <w:t>CF</w:t>
      </w:r>
      <w:r w:rsidRPr="002A6DBD">
        <w:rPr>
          <w:rFonts w:ascii="Helvetica" w:eastAsia="Hannotate TC" w:hAnsi="Helvetica" w:cs="Hannotate SC Regular"/>
          <w:color w:val="000000"/>
          <w:sz w:val="22"/>
          <w:szCs w:val="22"/>
          <w:lang w:eastAsia="en-GB"/>
        </w:rPr>
        <w:t xml:space="preserve"> recycling plants and highlights the benefits of recycling including the </w:t>
      </w:r>
      <w:r w:rsidRPr="002A6DBD">
        <w:rPr>
          <w:rFonts w:ascii="Helvetica" w:eastAsia="Hannotate TC" w:hAnsi="Helvetica" w:cs="Hannotate SC Regular"/>
          <w:color w:val="000000"/>
          <w:sz w:val="22"/>
          <w:szCs w:val="22"/>
          <w:lang w:eastAsia="en-GB"/>
        </w:rPr>
        <w:lastRenderedPageBreak/>
        <w:t xml:space="preserve">low energy consumption of recycling compared to the high cost of producing new CF </w:t>
      </w:r>
      <w:r w:rsidR="00107EB7" w:rsidRPr="002A6DBD">
        <w:rPr>
          <w:rFonts w:ascii="Helvetica" w:eastAsia="Hannotate TC" w:hAnsi="Helvetica" w:cs="Hannotate SC Regular"/>
          <w:color w:val="000000"/>
          <w:sz w:val="22"/>
          <w:szCs w:val="22"/>
          <w:lang w:eastAsia="en-GB"/>
        </w:rPr>
        <w:fldChar w:fldCharType="begin" w:fldLock="1"/>
      </w:r>
      <w:r w:rsidR="00A17B85">
        <w:rPr>
          <w:rFonts w:ascii="Helvetica" w:eastAsia="Hannotate TC" w:hAnsi="Helvetica" w:cs="Hannotate SC Regular"/>
          <w:color w:val="000000"/>
          <w:sz w:val="22"/>
          <w:szCs w:val="22"/>
          <w:lang w:eastAsia="en-GB"/>
        </w:rPr>
        <w:instrText>ADDIN CSL_CITATION {"citationItems":[{"id":"ITEM-1","itemData":{"DOI":"10.1016/S0034-3617(14)70213-9","ISSN":"0034-3617","author":[{"dropping-particle":"","family":"Job","given":"Stella","non-dropping-particle":"","parse-names":false,"suffix":""}],"container-title":"Reinforced Plastics","id":"ITEM-1","issue":"5","issued":{"date-parts":[["2014"]]},"page":"32-34,36-38","publisher":"Elsevier Ltd","title":"Recycling composites commercially","type":"article-journal","volume":"58"},"uris":["http://www.mendeley.com/documents/?uuid=18439307-404e-44be-87d5-86dce2783cad"]},{"id":"ITEM-2","itemData":{"abstract":"The use of composites is growing and the global market for composite products is expected to reach $95bn globally by 2020, an increase of 40% from 2014. The benefits of lighter weight and durability are increasingly recognised and so market penetration is growing in established sectors while new sectors are adopting composites. Inevitably this results in more waste from manufacturing, and an increasing challenge to develop economically sustainable recycling routes for end-of-life. Composites are by nature strong, durable and non-homogeneous, which makes them inherently difficult to recycle and commercialisation of recycling routes has been challenging. A supply chain for recycling carbon fibre reinforced polymers (CFRP) using a pyrolysis process is now becoming established, led by ELG Carbon Fibre in the UK. Intermediate products with recycled carbon fibre have been developed for milled and chopped applications in thermoplastic and thermoset compounds and coatings, non-woven textiles and 3D preforms. The next challenge is for increased take up of these intermediates in high volume applications. Glass reinforced polymers (GRP) are more challenging economically and the most promising route for end-of-life applications is to co-process with refuse derived fuel in cement kilns. This process is available in Germany, and cement kiln co-processing and energy from waste solutions are starting to become available in UK. Regrind from manufacturing waste can be incorporated in various processes including spray-up, casting and moulding, providing some reinforcement value from short fibres or flakes. Some companies operate this in-house, though grinding to fine filler is not commercially viable because of the very low cost of virgin fillers. Alternative processes are the subject of much research, particularly chemical processes which can recover value from the resin chemicals. Also variants of pyrolysis, e.g. within a fluidised bed or using microwave energy, have potential to provide cleaner fibres or use less energy. Environmental impact of different recycling processes shows that energy demand for chemical processes is typically higher than others, though may be offset by the potential to gain value from the resin chemicals as well as fibres. Pyrolysis is in the intermediate range, but only around 10% of the energy input required to produce virgin carbon fibre. Mechanical grinding uses very little energy in comparison, but produces a lower value product. Thermopla…","author":[{"dropping-particle":"","family":"Job","given":"Stella","non-dropping-particle":"","parse-names":false,"suffix":""},{"dropping-particle":"","family":"Leeke","given":"Gary","non-dropping-particle":"","parse-names":false,"suffix":""},{"dropping-particle":"","family":"Mativenga","given":"Paul Tarisai","non-dropping-particle":"","parse-names":false,"suffix":""},{"dropping-particle":"","family":"Oliveux","given":"Geraldine","non-dropping-particle":"","parse-names":false,"suffix":""},{"dropping-particle":"","family":"Pickering","given":"Steve","non-dropping-particle":"","parse-names":false,"suffix":""},{"dropping-particle":"","family":"Shuaib","given":"Norshah Aizat","non-dropping-particle":"","parse-names":false,"suffix":""}],"id":"ITEM-2","issued":{"date-parts":[["2016"]]},"note":"NULL","number-of-pages":"11","title":"COMPOSITES RECYCLING : Where are we now ?","type":"report"},"uris":["http://www.mendeley.com/documents/?uuid=bfa54d8e-eceb-46c1-b7d2-755a6b25f30e"]}],"mendeley":{"formattedCitation":"(Job, 2014; Job et al., 2016)","plainTextFormattedCitation":"(Job, 2014; Job et al., 2016)","previouslyFormattedCitation":"(Job, 2014; Job et al., 2016)"},"properties":{"noteIndex":0},"schema":"https://github.com/citation-style-language/schema/raw/master/csl-citation.json"}</w:instrText>
      </w:r>
      <w:r w:rsidR="00107EB7" w:rsidRPr="002A6DBD">
        <w:rPr>
          <w:rFonts w:ascii="Helvetica" w:eastAsia="Hannotate TC" w:hAnsi="Helvetica" w:cs="Hannotate SC Regular"/>
          <w:color w:val="000000"/>
          <w:sz w:val="22"/>
          <w:szCs w:val="22"/>
          <w:lang w:eastAsia="en-GB"/>
        </w:rPr>
        <w:fldChar w:fldCharType="separate"/>
      </w:r>
      <w:r w:rsidR="00B27DC5" w:rsidRPr="00B27DC5">
        <w:rPr>
          <w:rFonts w:ascii="Helvetica" w:eastAsia="Hannotate TC" w:hAnsi="Helvetica" w:cs="Hannotate SC Regular"/>
          <w:noProof/>
          <w:color w:val="000000"/>
          <w:sz w:val="22"/>
          <w:szCs w:val="22"/>
          <w:lang w:eastAsia="en-GB"/>
        </w:rPr>
        <w:t>(Job, 2014; Job et al., 2016)</w:t>
      </w:r>
      <w:r w:rsidR="00107EB7" w:rsidRPr="002A6DBD">
        <w:rPr>
          <w:rFonts w:ascii="Helvetica" w:eastAsia="Hannotate TC" w:hAnsi="Helvetica" w:cs="Hannotate SC Regular"/>
          <w:color w:val="000000"/>
          <w:sz w:val="22"/>
          <w:szCs w:val="22"/>
          <w:lang w:eastAsia="en-GB"/>
        </w:rPr>
        <w:fldChar w:fldCharType="end"/>
      </w:r>
      <w:r w:rsidRPr="002A6DBD">
        <w:rPr>
          <w:rFonts w:ascii="Helvetica" w:eastAsia="Hannotate TC" w:hAnsi="Helvetica" w:cs="Hannotate SC Regular"/>
          <w:color w:val="000000"/>
          <w:sz w:val="22"/>
          <w:szCs w:val="22"/>
          <w:lang w:eastAsia="en-GB"/>
        </w:rPr>
        <w:t>. However, for the goal of the present research, these studies have two major limitations. Firstly, they cover</w:t>
      </w:r>
      <w:r w:rsidR="00392B03">
        <w:rPr>
          <w:rFonts w:ascii="Helvetica" w:eastAsia="Hannotate TC" w:hAnsi="Helvetica" w:cs="Hannotate SC Regular"/>
          <w:color w:val="000000"/>
          <w:sz w:val="22"/>
          <w:szCs w:val="22"/>
          <w:lang w:eastAsia="en-GB"/>
        </w:rPr>
        <w:t xml:space="preserve"> only</w:t>
      </w:r>
      <w:r w:rsidRPr="002A6DBD">
        <w:rPr>
          <w:rFonts w:ascii="Helvetica" w:eastAsia="Hannotate TC" w:hAnsi="Helvetica" w:cs="Hannotate SC Regular"/>
          <w:color w:val="000000"/>
          <w:sz w:val="22"/>
          <w:szCs w:val="22"/>
          <w:lang w:eastAsia="en-GB"/>
        </w:rPr>
        <w:t xml:space="preserve"> a few </w:t>
      </w:r>
      <w:proofErr w:type="spellStart"/>
      <w:r w:rsidRPr="002A6DBD">
        <w:rPr>
          <w:rFonts w:ascii="Helvetica" w:eastAsia="Hannotate TC" w:hAnsi="Helvetica" w:cs="Hannotate SC Regular"/>
          <w:color w:val="000000"/>
          <w:sz w:val="22"/>
          <w:szCs w:val="22"/>
          <w:lang w:eastAsia="en-GB"/>
        </w:rPr>
        <w:t>EoL</w:t>
      </w:r>
      <w:proofErr w:type="spellEnd"/>
      <w:r w:rsidRPr="002A6DBD">
        <w:rPr>
          <w:rFonts w:ascii="Helvetica" w:eastAsia="Hannotate TC" w:hAnsi="Helvetica" w:cs="Hannotate SC Regular"/>
          <w:color w:val="000000"/>
          <w:sz w:val="22"/>
          <w:szCs w:val="22"/>
          <w:lang w:eastAsia="en-GB"/>
        </w:rPr>
        <w:t xml:space="preserve"> options but do not provide comprehensive coverage of all options. Secondly, they mainly focus on the composite waste from the automobile and aviation industries; WT blade waste has not been well addressed. With the rapid development of wind energy</w:t>
      </w:r>
      <w:r w:rsidR="00023944">
        <w:rPr>
          <w:rFonts w:ascii="Helvetica" w:eastAsia="Hannotate TC" w:hAnsi="Helvetica" w:cs="Hannotate SC Regular"/>
          <w:color w:val="000000"/>
          <w:sz w:val="22"/>
          <w:szCs w:val="22"/>
          <w:lang w:eastAsia="en-GB"/>
        </w:rPr>
        <w:t xml:space="preserve"> </w:t>
      </w:r>
      <w:r w:rsidR="00107EB7">
        <w:rPr>
          <w:rFonts w:ascii="Helvetica" w:eastAsia="Hannotate TC" w:hAnsi="Helvetica" w:cs="Hannotate SC Regular"/>
          <w:color w:val="000000"/>
          <w:sz w:val="22"/>
          <w:szCs w:val="22"/>
        </w:rPr>
        <w:fldChar w:fldCharType="begin" w:fldLock="1"/>
      </w:r>
      <w:r w:rsidR="00A17B85">
        <w:rPr>
          <w:rFonts w:ascii="Helvetica" w:eastAsia="Hannotate TC" w:hAnsi="Helvetica" w:cs="Hannotate SC Regular"/>
          <w:color w:val="000000"/>
          <w:sz w:val="22"/>
          <w:szCs w:val="22"/>
        </w:rPr>
        <w:instrText>ADDIN CSL_CITATION {"citationItems":[{"id":"ITEM-1","itemData":{"DOI":"10.1016/j.wasman.2017.02.007","ISSN":"0956-053X","author":[{"dropping-particle":"","family":"Liu","given":"Pu","non-dropping-particle":"","parse-names":false,"suffix":""},{"dropping-particle":"","family":"Barlow","given":"Claire Y","non-dropping-particle":"","parse-names":false,"suffix":""}],"container-title":"Waste Management","id":"ITEM-1","issued":{"date-parts":[["2017"]]},"title":"Wind turbine blade waste in 2050","type":"article-journal"},"uris":["http://www.mendeley.com/documents/?uuid=ffb74b6c-2307-4787-ba09-5aca4affa382"]}],"mendeley":{"formattedCitation":"(Liu and Barlow, 2017)","plainTextFormattedCitation":"(Liu and Barlow, 2017)","previouslyFormattedCitation":"(Liu and Barlow, 2017)"},"properties":{"noteIndex":0},"schema":"https://github.com/citation-style-language/schema/raw/master/csl-citation.json"}</w:instrText>
      </w:r>
      <w:r w:rsidR="00107EB7">
        <w:rPr>
          <w:rFonts w:ascii="Helvetica" w:eastAsia="Hannotate TC" w:hAnsi="Helvetica" w:cs="Hannotate SC Regular"/>
          <w:color w:val="000000"/>
          <w:sz w:val="22"/>
          <w:szCs w:val="22"/>
        </w:rPr>
        <w:fldChar w:fldCharType="separate"/>
      </w:r>
      <w:r w:rsidR="00B27DC5" w:rsidRPr="00B27DC5">
        <w:rPr>
          <w:rFonts w:ascii="Helvetica" w:eastAsia="Hannotate TC" w:hAnsi="Helvetica" w:cs="Hannotate SC Regular"/>
          <w:noProof/>
          <w:color w:val="000000"/>
          <w:sz w:val="22"/>
          <w:szCs w:val="22"/>
        </w:rPr>
        <w:t>(Liu and Barlow, 2017)</w:t>
      </w:r>
      <w:r w:rsidR="00107EB7">
        <w:rPr>
          <w:rFonts w:ascii="Helvetica" w:eastAsia="Hannotate TC" w:hAnsi="Helvetica" w:cs="Hannotate SC Regular"/>
          <w:color w:val="000000"/>
          <w:sz w:val="22"/>
          <w:szCs w:val="22"/>
        </w:rPr>
        <w:fldChar w:fldCharType="end"/>
      </w:r>
      <w:r w:rsidR="00023944" w:rsidRPr="002A6DBD">
        <w:rPr>
          <w:rFonts w:ascii="Helvetica" w:eastAsia="Hannotate TC" w:hAnsi="Helvetica" w:cs="Hannotate SC Regular"/>
          <w:color w:val="000000"/>
          <w:sz w:val="22"/>
          <w:szCs w:val="22"/>
          <w:lang w:eastAsia="en-GB"/>
        </w:rPr>
        <w:t xml:space="preserve">, composite usage in wind turbines </w:t>
      </w:r>
      <w:r w:rsidR="00023944">
        <w:rPr>
          <w:rFonts w:ascii="Helvetica" w:eastAsia="Hannotate TC" w:hAnsi="Helvetica" w:cs="Hannotate SC Regular"/>
          <w:color w:val="000000"/>
          <w:sz w:val="22"/>
          <w:szCs w:val="22"/>
          <w:lang w:eastAsia="en-GB"/>
        </w:rPr>
        <w:t>now forms a major part of the composites market,</w:t>
      </w:r>
      <w:r w:rsidR="00023944">
        <w:rPr>
          <w:rFonts w:ascii="Helvetica" w:eastAsia="Hannotate TC" w:hAnsi="Helvetica" w:cs="Hannotate SC Regular" w:hint="eastAsia"/>
          <w:color w:val="000000"/>
          <w:sz w:val="22"/>
          <w:szCs w:val="22"/>
        </w:rPr>
        <w:t xml:space="preserve"> </w:t>
      </w:r>
      <w:r w:rsidRPr="002A6DBD">
        <w:rPr>
          <w:rFonts w:ascii="Helvetica" w:eastAsia="Hannotate TC" w:hAnsi="Helvetica" w:cs="Hannotate SC Regular"/>
          <w:color w:val="000000"/>
          <w:sz w:val="22"/>
          <w:szCs w:val="22"/>
          <w:lang w:eastAsia="en-GB"/>
        </w:rPr>
        <w:t xml:space="preserve">ranking </w:t>
      </w:r>
      <w:r w:rsidR="00023944">
        <w:rPr>
          <w:rFonts w:ascii="Helvetica" w:eastAsia="Hannotate TC" w:hAnsi="Helvetica" w:cs="Hannotate SC Regular"/>
          <w:color w:val="000000"/>
          <w:sz w:val="22"/>
          <w:szCs w:val="22"/>
          <w:lang w:eastAsia="en-GB"/>
        </w:rPr>
        <w:t>second</w:t>
      </w:r>
      <w:r w:rsidR="00023944" w:rsidRPr="002A6DBD">
        <w:rPr>
          <w:rFonts w:ascii="Helvetica" w:eastAsia="Hannotate TC" w:hAnsi="Helvetica" w:cs="Hannotate SC Regular"/>
          <w:color w:val="000000"/>
          <w:sz w:val="22"/>
          <w:szCs w:val="22"/>
          <w:lang w:eastAsia="en-GB"/>
        </w:rPr>
        <w:t xml:space="preserve"> </w:t>
      </w:r>
      <w:r w:rsidRPr="002A6DBD">
        <w:rPr>
          <w:rFonts w:ascii="Helvetica" w:eastAsia="Hannotate TC" w:hAnsi="Helvetica" w:cs="Hannotate SC Regular"/>
          <w:color w:val="000000"/>
          <w:sz w:val="22"/>
          <w:szCs w:val="22"/>
          <w:lang w:eastAsia="en-GB"/>
        </w:rPr>
        <w:t>by usage just after</w:t>
      </w:r>
      <w:r w:rsidRPr="002A6DBD">
        <w:rPr>
          <w:rFonts w:ascii="Helvetica" w:eastAsia="Hannotate TC" w:hAnsi="Helvetica" w:cs="Hannotate SC Regular" w:hint="eastAsia"/>
          <w:color w:val="000000"/>
          <w:sz w:val="22"/>
          <w:szCs w:val="22"/>
          <w:lang w:eastAsia="en-GB"/>
        </w:rPr>
        <w:t xml:space="preserve"> the</w:t>
      </w:r>
      <w:r w:rsidRPr="002A6DBD">
        <w:rPr>
          <w:rFonts w:ascii="Helvetica" w:eastAsia="Hannotate TC" w:hAnsi="Helvetica" w:cs="Hannotate SC Regular"/>
          <w:color w:val="000000"/>
          <w:sz w:val="22"/>
          <w:szCs w:val="22"/>
          <w:lang w:eastAsia="en-GB"/>
        </w:rPr>
        <w:t xml:space="preserve"> aviation and defence sector </w:t>
      </w:r>
      <w:r w:rsidR="00107EB7" w:rsidRPr="002A6DBD">
        <w:rPr>
          <w:rFonts w:ascii="Helvetica" w:eastAsia="Hannotate TC" w:hAnsi="Helvetica" w:cs="Hannotate SC Regular"/>
          <w:color w:val="000000"/>
          <w:sz w:val="22"/>
          <w:szCs w:val="22"/>
          <w:lang w:eastAsia="en-GB"/>
        </w:rPr>
        <w:fldChar w:fldCharType="begin" w:fldLock="1"/>
      </w:r>
      <w:r w:rsidR="00A17B85">
        <w:rPr>
          <w:rFonts w:ascii="Helvetica" w:eastAsia="Hannotate TC" w:hAnsi="Helvetica" w:cs="Hannotate SC Regular"/>
          <w:color w:val="000000"/>
          <w:sz w:val="22"/>
          <w:szCs w:val="22"/>
          <w:lang w:eastAsia="en-GB"/>
        </w:rPr>
        <w:instrText>ADDIN CSL_CITATION {"citationItems":[{"id":"ITEM-1","itemData":{"DOI":"10.1016/S0034-3617(14)70251-6","ISSN":"00343617","abstract":"The association of composite companies and research institutes Carbon Composites e.V. has produced its fifth annual review of the global carbon fibre reinforced plastics market. Mark Holmes reviews the findings and outlook of the 2014 report, which continues to show carbon fibre use on the increase.","author":[{"dropping-particle":"","family":"Holmes","given":"Mark","non-dropping-particle":"","parse-names":false,"suffix":""}],"container-title":"Reinforced Plastics","id":"ITEM-1","issue":"6","issued":{"date-parts":[["2014"]]},"page":"38-45","title":"Global carbon fibre market remains on upward trend","type":"article-magazine","volume":"58"},"uris":["http://www.mendeley.com/documents/?uuid=26714672-cad4-488b-bf70-b56f609630ea"]}],"mendeley":{"formattedCitation":"(Holmes, 2014)","plainTextFormattedCitation":"(Holmes, 2014)","previouslyFormattedCitation":"(Holmes, 2014)"},"properties":{"noteIndex":0},"schema":"https://github.com/citation-style-language/schema/raw/master/csl-citation.json"}</w:instrText>
      </w:r>
      <w:r w:rsidR="00107EB7" w:rsidRPr="002A6DBD">
        <w:rPr>
          <w:rFonts w:ascii="Helvetica" w:eastAsia="Hannotate TC" w:hAnsi="Helvetica" w:cs="Hannotate SC Regular"/>
          <w:color w:val="000000"/>
          <w:sz w:val="22"/>
          <w:szCs w:val="22"/>
          <w:lang w:eastAsia="en-GB"/>
        </w:rPr>
        <w:fldChar w:fldCharType="separate"/>
      </w:r>
      <w:r w:rsidR="00B27DC5" w:rsidRPr="00B27DC5">
        <w:rPr>
          <w:rFonts w:ascii="Helvetica" w:eastAsia="Hannotate TC" w:hAnsi="Helvetica" w:cs="Hannotate SC Regular"/>
          <w:noProof/>
          <w:color w:val="000000"/>
          <w:sz w:val="22"/>
          <w:szCs w:val="22"/>
          <w:lang w:eastAsia="en-GB"/>
        </w:rPr>
        <w:t>(Holmes, 2014)</w:t>
      </w:r>
      <w:r w:rsidR="00107EB7" w:rsidRPr="002A6DBD">
        <w:rPr>
          <w:rFonts w:ascii="Helvetica" w:eastAsia="Hannotate TC" w:hAnsi="Helvetica" w:cs="Hannotate SC Regular"/>
          <w:color w:val="000000"/>
          <w:sz w:val="22"/>
          <w:szCs w:val="22"/>
          <w:lang w:eastAsia="en-GB"/>
        </w:rPr>
        <w:fldChar w:fldCharType="end"/>
      </w:r>
      <w:r w:rsidRPr="002A6DBD">
        <w:rPr>
          <w:rFonts w:ascii="Helvetica" w:eastAsia="Hannotate TC" w:hAnsi="Helvetica" w:cs="Hannotate SC Regular"/>
          <w:color w:val="000000"/>
          <w:sz w:val="22"/>
          <w:szCs w:val="22"/>
          <w:lang w:eastAsia="en-GB"/>
        </w:rPr>
        <w:t xml:space="preserve">. The </w:t>
      </w:r>
      <w:proofErr w:type="spellStart"/>
      <w:r w:rsidRPr="002A6DBD">
        <w:rPr>
          <w:rFonts w:ascii="Helvetica" w:eastAsia="Hannotate TC" w:hAnsi="Helvetica" w:cs="Hannotate SC Regular"/>
          <w:color w:val="000000"/>
          <w:sz w:val="22"/>
          <w:szCs w:val="22"/>
          <w:lang w:eastAsia="en-GB"/>
        </w:rPr>
        <w:t>EoL</w:t>
      </w:r>
      <w:proofErr w:type="spellEnd"/>
      <w:r w:rsidRPr="002A6DBD">
        <w:rPr>
          <w:rFonts w:ascii="Helvetica" w:eastAsia="Hannotate TC" w:hAnsi="Helvetica" w:cs="Hannotate SC Regular"/>
          <w:color w:val="000000"/>
          <w:sz w:val="22"/>
          <w:szCs w:val="22"/>
          <w:lang w:eastAsia="en-GB"/>
        </w:rPr>
        <w:t xml:space="preserve"> waste from wind turbine </w:t>
      </w:r>
      <w:r w:rsidRPr="002A6DBD">
        <w:rPr>
          <w:rFonts w:ascii="Helvetica" w:eastAsia="Times New Roman" w:hAnsi="Helvetica" w:cs="Times New Roman"/>
          <w:sz w:val="22"/>
          <w:szCs w:val="22"/>
          <w:lang w:eastAsia="en-GB"/>
        </w:rPr>
        <w:t>blade</w:t>
      </w:r>
      <w:r w:rsidR="00FF6058">
        <w:rPr>
          <w:rFonts w:ascii="Helvetica" w:eastAsia="Times New Roman" w:hAnsi="Helvetica" w:cs="Times New Roman"/>
          <w:sz w:val="22"/>
          <w:szCs w:val="22"/>
          <w:lang w:eastAsia="en-GB"/>
        </w:rPr>
        <w:t>s</w:t>
      </w:r>
      <w:r w:rsidRPr="002A6DBD">
        <w:rPr>
          <w:rFonts w:ascii="Helvetica" w:eastAsia="Times New Roman" w:hAnsi="Helvetica" w:cs="Times New Roman"/>
          <w:sz w:val="22"/>
          <w:szCs w:val="22"/>
          <w:lang w:eastAsia="en-GB"/>
        </w:rPr>
        <w:t xml:space="preserve"> is predicted to exceed 500 kilo tonnes annually by 2029 and </w:t>
      </w:r>
      <w:r w:rsidR="00F91BAA">
        <w:rPr>
          <w:rFonts w:ascii="Helvetica" w:eastAsia="Times New Roman" w:hAnsi="Helvetica" w:cs="Times New Roman"/>
          <w:sz w:val="22"/>
          <w:szCs w:val="22"/>
          <w:lang w:eastAsia="en-GB"/>
        </w:rPr>
        <w:t xml:space="preserve">to </w:t>
      </w:r>
      <w:r w:rsidRPr="002A6DBD">
        <w:rPr>
          <w:rFonts w:ascii="Helvetica" w:eastAsia="Times New Roman" w:hAnsi="Helvetica" w:cs="Times New Roman"/>
          <w:sz w:val="22"/>
          <w:szCs w:val="22"/>
          <w:lang w:eastAsia="en-GB"/>
        </w:rPr>
        <w:t>continue</w:t>
      </w:r>
      <w:r w:rsidR="00DB161F">
        <w:rPr>
          <w:rFonts w:ascii="Helvetica" w:eastAsia="Times New Roman" w:hAnsi="Helvetica" w:cs="Times New Roman"/>
          <w:sz w:val="22"/>
          <w:szCs w:val="22"/>
          <w:lang w:eastAsia="en-GB"/>
        </w:rPr>
        <w:t xml:space="preserve"> increasing rapidly thereafter </w:t>
      </w:r>
      <w:r w:rsidR="00107EB7">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wasman.2017.02.007","ISSN":"0956-053X","author":[{"dropping-particle":"","family":"Liu","given":"Pu","non-dropping-particle":"","parse-names":false,"suffix":""},{"dropping-particle":"","family":"Barlow","given":"Claire Y","non-dropping-particle":"","parse-names":false,"suffix":""}],"container-title":"Waste Management","id":"ITEM-1","issued":{"date-parts":[["2017"]]},"title":"Wind turbine blade waste in 2050","type":"article-journal"},"uris":["http://www.mendeley.com/documents/?uuid=ffb74b6c-2307-4787-ba09-5aca4affa382"]}],"mendeley":{"formattedCitation":"(Liu and Barlow, 2017)","plainTextFormattedCitation":"(Liu and Barlow, 2017)","previouslyFormattedCitation":"(Liu and Barlow, 2017)"},"properties":{"noteIndex":0},"schema":"https://github.com/citation-style-language/schema/raw/master/csl-citation.json"}</w:instrText>
      </w:r>
      <w:r w:rsidR="00107EB7">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(Liu and Barlow, 2017)</w:t>
      </w:r>
      <w:r w:rsidR="00107EB7">
        <w:rPr>
          <w:rFonts w:ascii="Helvetica" w:eastAsia="Times New Roman" w:hAnsi="Helvetica" w:cs="Times New Roman"/>
          <w:sz w:val="22"/>
          <w:szCs w:val="22"/>
          <w:lang w:eastAsia="en-GB"/>
        </w:rPr>
        <w:fldChar w:fldCharType="end"/>
      </w:r>
      <w:r w:rsidR="00F91BAA">
        <w:rPr>
          <w:rFonts w:ascii="Helvetica" w:eastAsia="Times New Roman" w:hAnsi="Helvetica" w:cs="Times New Roman"/>
          <w:sz w:val="22"/>
          <w:szCs w:val="22"/>
          <w:lang w:eastAsia="en-GB"/>
        </w:rPr>
        <w:t>,</w:t>
      </w:r>
      <w:r w:rsidRPr="002A6DBD">
        <w:rPr>
          <w:rFonts w:ascii="Helvetica" w:eastAsia="Times New Roman" w:hAnsi="Helvetica" w:cs="Times New Roman"/>
          <w:sz w:val="22"/>
          <w:szCs w:val="22"/>
          <w:lang w:eastAsia="en-GB"/>
        </w:rPr>
        <w:t xml:space="preserve"> provid</w:t>
      </w:r>
      <w:r w:rsidR="00F91BAA">
        <w:rPr>
          <w:rFonts w:ascii="Helvetica" w:eastAsia="Times New Roman" w:hAnsi="Helvetica" w:cs="Times New Roman"/>
          <w:sz w:val="22"/>
          <w:szCs w:val="22"/>
          <w:lang w:eastAsia="en-GB"/>
        </w:rPr>
        <w:t>ing</w:t>
      </w:r>
      <w:r w:rsidRPr="002A6DBD">
        <w:rPr>
          <w:rFonts w:ascii="Helvetica" w:eastAsia="Times New Roman" w:hAnsi="Helvetica" w:cs="Times New Roman"/>
          <w:sz w:val="22"/>
          <w:szCs w:val="22"/>
          <w:lang w:eastAsia="en-GB"/>
        </w:rPr>
        <w:t xml:space="preserve"> strong motivation for a focus on this type of composite waste.</w:t>
      </w:r>
    </w:p>
    <w:p w14:paraId="5B36BD43" w14:textId="77777777" w:rsidR="00B44120" w:rsidRPr="00CC79D8" w:rsidRDefault="00B44120" w:rsidP="00B44120">
      <w:pPr>
        <w:tabs>
          <w:tab w:val="left" w:pos="851"/>
        </w:tabs>
        <w:spacing w:before="120" w:line="360" w:lineRule="auto"/>
        <w:rPr>
          <w:rFonts w:ascii="Helvetica" w:hAnsi="Helvetica" w:cs="Times New Roman"/>
          <w:sz w:val="22"/>
          <w:szCs w:val="22"/>
        </w:rPr>
      </w:pPr>
      <w:r w:rsidRPr="002A6DBD">
        <w:rPr>
          <w:rFonts w:ascii="Helvetica" w:eastAsia="Hannotate TC" w:hAnsi="Helvetica" w:cs="Times New Roman"/>
          <w:sz w:val="22"/>
          <w:szCs w:val="22"/>
          <w:lang w:eastAsia="en-GB"/>
        </w:rPr>
        <w:t xml:space="preserve">WT blade waste has </w:t>
      </w:r>
      <w:r w:rsidR="00EF4C0C">
        <w:rPr>
          <w:rFonts w:ascii="Helvetica" w:eastAsia="Hannotate TC" w:hAnsi="Helvetica" w:cs="Times New Roman"/>
          <w:sz w:val="22"/>
          <w:szCs w:val="22"/>
          <w:lang w:eastAsia="en-GB"/>
        </w:rPr>
        <w:t xml:space="preserve">the </w:t>
      </w:r>
      <w:r w:rsidRPr="002A6DBD">
        <w:rPr>
          <w:rFonts w:ascii="Helvetica" w:eastAsia="Hannotate TC" w:hAnsi="Helvetica" w:cs="Times New Roman"/>
          <w:sz w:val="22"/>
          <w:szCs w:val="22"/>
          <w:lang w:eastAsia="en-GB"/>
        </w:rPr>
        <w:t>following specific features:</w:t>
      </w:r>
    </w:p>
    <w:p w14:paraId="5E078935" w14:textId="77777777" w:rsidR="00B44120" w:rsidRDefault="00B44120" w:rsidP="00B44120">
      <w:pPr>
        <w:numPr>
          <w:ilvl w:val="0"/>
          <w:numId w:val="1"/>
        </w:numPr>
        <w:tabs>
          <w:tab w:val="left" w:pos="851"/>
        </w:tabs>
        <w:spacing w:before="120" w:line="360" w:lineRule="auto"/>
        <w:contextualSpacing/>
        <w:rPr>
          <w:rFonts w:ascii="Helvetica" w:eastAsia="Times New Roman" w:hAnsi="Helvetica" w:cs="Times New Roman"/>
          <w:sz w:val="22"/>
          <w:szCs w:val="22"/>
          <w:lang w:eastAsia="en-GB"/>
        </w:rPr>
      </w:pPr>
      <w:r w:rsidRPr="002A6DBD">
        <w:rPr>
          <w:rFonts w:ascii="Helvetica" w:eastAsia="Times New Roman" w:hAnsi="Helvetica" w:cs="Times New Roman"/>
          <w:sz w:val="22"/>
          <w:szCs w:val="22"/>
          <w:lang w:eastAsia="en-GB"/>
        </w:rPr>
        <w:t>It has a complex and mixed material composition including fibre, resin, core material and supportive material.</w:t>
      </w:r>
    </w:p>
    <w:p w14:paraId="6227963C" w14:textId="77777777" w:rsidR="0050438E" w:rsidRPr="0050438E" w:rsidRDefault="0050438E" w:rsidP="0050438E">
      <w:pPr>
        <w:numPr>
          <w:ilvl w:val="0"/>
          <w:numId w:val="1"/>
        </w:numPr>
        <w:tabs>
          <w:tab w:val="left" w:pos="851"/>
        </w:tabs>
        <w:spacing w:before="120" w:line="360" w:lineRule="auto"/>
        <w:contextualSpacing/>
        <w:rPr>
          <w:rFonts w:ascii="Helvetica" w:eastAsia="Times New Roman" w:hAnsi="Helvetica" w:cs="Times New Roman"/>
          <w:sz w:val="22"/>
          <w:szCs w:val="22"/>
          <w:lang w:eastAsia="en-GB"/>
        </w:rPr>
      </w:pPr>
      <w:r w:rsidRPr="002A6DBD">
        <w:rPr>
          <w:rFonts w:ascii="Helvetica" w:eastAsia="Times New Roman" w:hAnsi="Helvetica" w:cs="Times New Roman"/>
          <w:sz w:val="22"/>
          <w:szCs w:val="22"/>
          <w:lang w:eastAsia="en-GB"/>
        </w:rPr>
        <w:t>There is variation between WT blades in terms of their structural design, size and material composition.</w:t>
      </w:r>
    </w:p>
    <w:p w14:paraId="23BB6FCA" w14:textId="77777777" w:rsidR="00B44120" w:rsidRDefault="00B44120" w:rsidP="00B44120">
      <w:pPr>
        <w:numPr>
          <w:ilvl w:val="0"/>
          <w:numId w:val="1"/>
        </w:numPr>
        <w:tabs>
          <w:tab w:val="left" w:pos="851"/>
        </w:tabs>
        <w:spacing w:before="120" w:line="360" w:lineRule="auto"/>
        <w:contextualSpacing/>
        <w:rPr>
          <w:rFonts w:ascii="Helvetica" w:eastAsia="Times New Roman" w:hAnsi="Helvetica" w:cs="Times New Roman"/>
          <w:sz w:val="22"/>
          <w:szCs w:val="22"/>
          <w:lang w:eastAsia="en-GB"/>
        </w:rPr>
      </w:pPr>
      <w:r w:rsidRPr="002A6DBD">
        <w:rPr>
          <w:rFonts w:ascii="Helvetica" w:eastAsia="Times New Roman" w:hAnsi="Helvetica" w:cs="Times New Roman"/>
          <w:sz w:val="22"/>
          <w:szCs w:val="22"/>
          <w:lang w:eastAsia="en-GB"/>
        </w:rPr>
        <w:t>The large size of the blade may cause difficulties in dismantling, transportation</w:t>
      </w:r>
      <w:r w:rsidRPr="002A6DBD">
        <w:rPr>
          <w:rFonts w:ascii="Helvetica" w:eastAsia="Times New Roman" w:hAnsi="Helvetica" w:cs="Times New Roman" w:hint="eastAsia"/>
          <w:sz w:val="22"/>
          <w:szCs w:val="22"/>
          <w:lang w:eastAsia="en-GB"/>
        </w:rPr>
        <w:t xml:space="preserve"> and</w:t>
      </w:r>
      <w:r w:rsidRPr="002A6DBD">
        <w:rPr>
          <w:rFonts w:ascii="Helvetica" w:eastAsia="Times New Roman" w:hAnsi="Helvetica" w:cs="Times New Roman"/>
          <w:sz w:val="22"/>
          <w:szCs w:val="22"/>
          <w:lang w:eastAsia="en-GB"/>
        </w:rPr>
        <w:t xml:space="preserve"> size reduction.</w:t>
      </w:r>
    </w:p>
    <w:p w14:paraId="68BC52C0" w14:textId="77777777" w:rsidR="00A1219E" w:rsidRDefault="00C60A40" w:rsidP="00E30C8D">
      <w:pPr>
        <w:tabs>
          <w:tab w:val="left" w:pos="851"/>
        </w:tabs>
        <w:spacing w:before="120" w:line="360" w:lineRule="auto"/>
        <w:ind w:left="360"/>
        <w:contextualSpacing/>
        <w:rPr>
          <w:rFonts w:ascii="Helvetica" w:eastAsia="Times New Roman" w:hAnsi="Helvetica" w:cs="Times New Roman"/>
          <w:sz w:val="22"/>
          <w:szCs w:val="22"/>
          <w:lang w:eastAsia="en-GB"/>
        </w:rPr>
      </w:pPr>
      <w:r>
        <w:rPr>
          <w:rFonts w:ascii="Helvetica" w:eastAsia="Times New Roman" w:hAnsi="Helvetica" w:cs="Times New Roman"/>
          <w:sz w:val="22"/>
          <w:szCs w:val="22"/>
          <w:lang w:eastAsia="en-GB"/>
        </w:rPr>
        <w:t>In addition:</w:t>
      </w:r>
    </w:p>
    <w:p w14:paraId="1BBF7CB3" w14:textId="77777777" w:rsidR="00C60A40" w:rsidRDefault="00B44120" w:rsidP="00C60A40">
      <w:pPr>
        <w:numPr>
          <w:ilvl w:val="0"/>
          <w:numId w:val="1"/>
        </w:numPr>
        <w:tabs>
          <w:tab w:val="left" w:pos="851"/>
        </w:tabs>
        <w:spacing w:before="120" w:line="360" w:lineRule="auto"/>
        <w:contextualSpacing/>
        <w:rPr>
          <w:rFonts w:ascii="Helvetica" w:eastAsia="Times New Roman" w:hAnsi="Helvetica" w:cs="Times New Roman"/>
          <w:sz w:val="22"/>
          <w:szCs w:val="22"/>
          <w:lang w:eastAsia="en-GB"/>
        </w:rPr>
      </w:pPr>
      <w:r w:rsidRPr="002A6DBD">
        <w:rPr>
          <w:rFonts w:ascii="Helvetica" w:eastAsia="Times New Roman" w:hAnsi="Helvetica" w:cs="Times New Roman"/>
          <w:sz w:val="22"/>
          <w:szCs w:val="22"/>
          <w:lang w:eastAsia="en-GB"/>
        </w:rPr>
        <w:t>G</w:t>
      </w:r>
      <w:r w:rsidR="00011392">
        <w:rPr>
          <w:rFonts w:ascii="Helvetica" w:eastAsia="Times New Roman" w:hAnsi="Helvetica" w:cs="Times New Roman"/>
          <w:sz w:val="22"/>
          <w:szCs w:val="22"/>
          <w:lang w:eastAsia="en-GB"/>
        </w:rPr>
        <w:t xml:space="preserve">lass </w:t>
      </w:r>
      <w:r w:rsidRPr="002A6DBD">
        <w:rPr>
          <w:rFonts w:ascii="Helvetica" w:eastAsia="Times New Roman" w:hAnsi="Helvetica" w:cs="Times New Roman"/>
          <w:sz w:val="22"/>
          <w:szCs w:val="22"/>
          <w:lang w:eastAsia="en-GB"/>
        </w:rPr>
        <w:t>F</w:t>
      </w:r>
      <w:r w:rsidR="00F13B3F">
        <w:rPr>
          <w:rFonts w:ascii="Helvetica" w:eastAsia="Times New Roman" w:hAnsi="Helvetica" w:cs="Times New Roman"/>
          <w:sz w:val="22"/>
          <w:szCs w:val="22"/>
          <w:lang w:eastAsia="en-GB"/>
        </w:rPr>
        <w:t>ibre</w:t>
      </w:r>
      <w:r w:rsidR="00392B03">
        <w:rPr>
          <w:rFonts w:ascii="Helvetica" w:eastAsia="Times New Roman" w:hAnsi="Helvetica" w:cs="Times New Roman"/>
          <w:sz w:val="22"/>
          <w:szCs w:val="22"/>
          <w:lang w:eastAsia="en-GB"/>
        </w:rPr>
        <w:t xml:space="preserve"> (GF)</w:t>
      </w:r>
      <w:r w:rsidR="00F13B3F">
        <w:rPr>
          <w:rFonts w:ascii="Helvetica" w:eastAsia="Times New Roman" w:hAnsi="Helvetica" w:cs="Times New Roman"/>
          <w:sz w:val="22"/>
          <w:szCs w:val="22"/>
          <w:lang w:eastAsia="en-GB"/>
        </w:rPr>
        <w:t xml:space="preserve"> </w:t>
      </w:r>
      <w:r w:rsidRPr="002A6DBD">
        <w:rPr>
          <w:rFonts w:ascii="Helvetica" w:eastAsia="Times New Roman" w:hAnsi="Helvetica" w:cs="Times New Roman"/>
          <w:sz w:val="22"/>
          <w:szCs w:val="22"/>
          <w:lang w:eastAsia="en-GB"/>
        </w:rPr>
        <w:t>/GFRP (the major material) is of low value.</w:t>
      </w:r>
    </w:p>
    <w:p w14:paraId="1C1F968D" w14:textId="77777777" w:rsidR="00E3688A" w:rsidRDefault="00C60A40">
      <w:pPr>
        <w:numPr>
          <w:ilvl w:val="0"/>
          <w:numId w:val="1"/>
        </w:numPr>
        <w:tabs>
          <w:tab w:val="left" w:pos="851"/>
        </w:tabs>
        <w:spacing w:before="120" w:line="360" w:lineRule="auto"/>
        <w:contextualSpacing/>
        <w:rPr>
          <w:rFonts w:ascii="Helvetica" w:eastAsia="Times New Roman" w:hAnsi="Helvetica" w:cs="Times New Roman"/>
          <w:sz w:val="22"/>
          <w:szCs w:val="22"/>
          <w:lang w:eastAsia="en-GB"/>
        </w:rPr>
      </w:pPr>
      <w:r w:rsidRPr="002A6DBD">
        <w:rPr>
          <w:rFonts w:ascii="Helvetica" w:eastAsia="Times New Roman" w:hAnsi="Helvetica" w:cs="Times New Roman"/>
          <w:sz w:val="22"/>
          <w:szCs w:val="22"/>
          <w:lang w:eastAsia="en-GB"/>
        </w:rPr>
        <w:t xml:space="preserve">The </w:t>
      </w:r>
      <w:r w:rsidR="00C23A88" w:rsidRPr="002A6DBD">
        <w:rPr>
          <w:rFonts w:ascii="Helvetica" w:eastAsia="Times New Roman" w:hAnsi="Helvetica" w:cs="Times New Roman"/>
          <w:sz w:val="22"/>
          <w:szCs w:val="22"/>
          <w:lang w:eastAsia="en-GB"/>
        </w:rPr>
        <w:t xml:space="preserve">thermoset </w:t>
      </w:r>
      <w:r w:rsidRPr="002A6DBD">
        <w:rPr>
          <w:rFonts w:ascii="Helvetica" w:eastAsia="Times New Roman" w:hAnsi="Helvetica" w:cs="Times New Roman"/>
          <w:sz w:val="22"/>
          <w:szCs w:val="22"/>
          <w:lang w:eastAsia="en-GB"/>
        </w:rPr>
        <w:t>resin is cross linked and cannot be remoulded.</w:t>
      </w:r>
    </w:p>
    <w:p w14:paraId="4FE12741" w14:textId="31A7CCCB" w:rsidR="0045012C" w:rsidRPr="00AF5A31" w:rsidRDefault="00B44120" w:rsidP="00B44120">
      <w:pPr>
        <w:tabs>
          <w:tab w:val="left" w:pos="851"/>
        </w:tabs>
        <w:spacing w:before="120" w:line="360" w:lineRule="auto"/>
        <w:rPr>
          <w:rFonts w:ascii="Helvetica" w:eastAsia="Times New Roman" w:hAnsi="Helvetica" w:cs="Times New Roman"/>
          <w:sz w:val="22"/>
          <w:szCs w:val="22"/>
          <w:lang w:eastAsia="en-GB"/>
        </w:rPr>
      </w:pPr>
      <w:r w:rsidRPr="002A6DBD">
        <w:rPr>
          <w:rFonts w:ascii="Helvetica" w:eastAsia="Times New Roman" w:hAnsi="Helvetica" w:cs="Times New Roman"/>
          <w:color w:val="000000"/>
          <w:sz w:val="22"/>
          <w:szCs w:val="22"/>
          <w:lang w:eastAsia="en-GB"/>
        </w:rPr>
        <w:t xml:space="preserve">These features make WT blades more challenging to process than general composite waste. </w:t>
      </w:r>
      <w:r w:rsidRPr="002A6DBD">
        <w:rPr>
          <w:rFonts w:ascii="Helvetica" w:eastAsia="Times New Roman" w:hAnsi="Helvetica" w:cs="Times New Roman"/>
          <w:sz w:val="22"/>
          <w:szCs w:val="22"/>
          <w:lang w:eastAsia="en-GB"/>
        </w:rPr>
        <w:t>Investigations have attempted to address this problem, either from the start, looking at raw materials, or from the end, examining end-of-life processes. For the raw materials, natural fibres such as flax and bamboo have been proposed as substitute</w:t>
      </w:r>
      <w:r w:rsidR="00F13B3F">
        <w:rPr>
          <w:rFonts w:ascii="Helvetica" w:eastAsia="Times New Roman" w:hAnsi="Helvetica" w:cs="Times New Roman"/>
          <w:sz w:val="22"/>
          <w:szCs w:val="22"/>
          <w:lang w:eastAsia="en-GB"/>
        </w:rPr>
        <w:t>s</w:t>
      </w:r>
      <w:r w:rsidRPr="002A6DBD">
        <w:rPr>
          <w:rFonts w:ascii="Helvetica" w:eastAsia="Times New Roman" w:hAnsi="Helvetica" w:cs="Times New Roman"/>
          <w:sz w:val="22"/>
          <w:szCs w:val="22"/>
          <w:lang w:eastAsia="en-GB"/>
        </w:rPr>
        <w:t xml:space="preserve"> for </w:t>
      </w:r>
      <w:r w:rsidR="00392B03">
        <w:rPr>
          <w:rFonts w:ascii="Helvetica" w:eastAsia="Times New Roman" w:hAnsi="Helvetica" w:cs="Times New Roman"/>
          <w:sz w:val="22"/>
          <w:szCs w:val="22"/>
          <w:lang w:eastAsia="en-GB"/>
        </w:rPr>
        <w:t>GF</w:t>
      </w:r>
      <w:r w:rsidRPr="002A6DBD">
        <w:rPr>
          <w:rFonts w:ascii="Helvetica" w:eastAsia="Times New Roman" w:hAnsi="Helvetica" w:cs="Times New Roman"/>
          <w:sz w:val="22"/>
          <w:szCs w:val="22"/>
          <w:lang w:eastAsia="en-GB"/>
        </w:rPr>
        <w:t xml:space="preserve"> as they have </w:t>
      </w:r>
      <w:r w:rsidR="00F13B3F" w:rsidRPr="002A6DBD">
        <w:rPr>
          <w:rFonts w:ascii="Helvetica" w:eastAsia="Times New Roman" w:hAnsi="Helvetica" w:cs="Times New Roman"/>
          <w:sz w:val="22"/>
          <w:szCs w:val="22"/>
          <w:lang w:eastAsia="en-GB"/>
        </w:rPr>
        <w:t>l</w:t>
      </w:r>
      <w:r w:rsidR="00F13B3F">
        <w:rPr>
          <w:rFonts w:ascii="Helvetica" w:eastAsia="Times New Roman" w:hAnsi="Helvetica" w:cs="Times New Roman"/>
          <w:sz w:val="22"/>
          <w:szCs w:val="22"/>
          <w:lang w:eastAsia="en-GB"/>
        </w:rPr>
        <w:t>ower</w:t>
      </w:r>
      <w:r w:rsidR="00F13B3F" w:rsidRPr="002A6DBD">
        <w:rPr>
          <w:rFonts w:ascii="Helvetica" w:eastAsia="Times New Roman" w:hAnsi="Helvetica" w:cs="Times New Roman"/>
          <w:sz w:val="22"/>
          <w:szCs w:val="22"/>
          <w:lang w:eastAsia="en-GB"/>
        </w:rPr>
        <w:t xml:space="preserve"> </w:t>
      </w:r>
      <w:r w:rsidRPr="002A6DBD">
        <w:rPr>
          <w:rFonts w:ascii="Helvetica" w:eastAsia="Times New Roman" w:hAnsi="Helvetica" w:cs="Times New Roman"/>
          <w:sz w:val="22"/>
          <w:szCs w:val="22"/>
          <w:lang w:eastAsia="en-GB"/>
        </w:rPr>
        <w:t>environmental impact</w:t>
      </w:r>
      <w:r w:rsidR="00F13B3F">
        <w:rPr>
          <w:rFonts w:ascii="Helvetica" w:eastAsia="Times New Roman" w:hAnsi="Helvetica" w:cs="Times New Roman"/>
          <w:sz w:val="22"/>
          <w:szCs w:val="22"/>
          <w:lang w:eastAsia="en-GB"/>
        </w:rPr>
        <w:t xml:space="preserve">. However </w:t>
      </w:r>
      <w:r w:rsidRPr="002A6DBD">
        <w:rPr>
          <w:rFonts w:ascii="Helvetica" w:eastAsia="Times New Roman" w:hAnsi="Helvetica" w:cs="Times New Roman"/>
          <w:sz w:val="22"/>
          <w:szCs w:val="22"/>
          <w:lang w:eastAsia="en-GB"/>
        </w:rPr>
        <w:t xml:space="preserve">due to their limited strength and </w:t>
      </w:r>
      <w:r w:rsidR="00023944">
        <w:rPr>
          <w:rFonts w:ascii="Helvetica" w:eastAsia="Times New Roman" w:hAnsi="Helvetica" w:cs="Times New Roman"/>
          <w:sz w:val="22"/>
          <w:szCs w:val="22"/>
          <w:lang w:eastAsia="en-GB"/>
        </w:rPr>
        <w:t xml:space="preserve">problems of </w:t>
      </w:r>
      <w:r w:rsidRPr="002A6DBD">
        <w:rPr>
          <w:rFonts w:ascii="Helvetica" w:eastAsia="Times New Roman" w:hAnsi="Helvetica" w:cs="Times New Roman"/>
          <w:sz w:val="22"/>
          <w:szCs w:val="22"/>
          <w:lang w:eastAsia="en-GB"/>
        </w:rPr>
        <w:t>uniformity</w:t>
      </w:r>
      <w:r w:rsidRPr="002A6DBD">
        <w:rPr>
          <w:rFonts w:ascii="Helvetica" w:eastAsia="Times New Roman" w:hAnsi="Helvetica" w:cs="Times New Roman" w:hint="eastAsia"/>
          <w:sz w:val="22"/>
          <w:szCs w:val="22"/>
          <w:lang w:eastAsia="en-GB"/>
        </w:rPr>
        <w:t xml:space="preserve">, </w:t>
      </w:r>
      <w:r w:rsidRPr="002A6DBD">
        <w:rPr>
          <w:rFonts w:ascii="Helvetica" w:eastAsia="Times New Roman" w:hAnsi="Helvetica" w:cs="Times New Roman"/>
          <w:sz w:val="22"/>
          <w:szCs w:val="22"/>
          <w:lang w:eastAsia="en-GB"/>
        </w:rPr>
        <w:t>this concept</w:t>
      </w:r>
      <w:r w:rsidRPr="002A6DBD">
        <w:rPr>
          <w:rFonts w:ascii="Helvetica" w:eastAsia="Times New Roman" w:hAnsi="Helvetica" w:cs="Times New Roman" w:hint="eastAsia"/>
          <w:sz w:val="22"/>
          <w:szCs w:val="22"/>
          <w:lang w:eastAsia="en-GB"/>
        </w:rPr>
        <w:t xml:space="preserve"> is still under development</w:t>
      </w:r>
      <w:r w:rsidRPr="002A6DBD">
        <w:rPr>
          <w:rFonts w:ascii="Helvetica" w:eastAsia="Times New Roman" w:hAnsi="Helvetica" w:cs="Times New Roman"/>
          <w:sz w:val="22"/>
          <w:szCs w:val="22"/>
          <w:lang w:eastAsia="en-GB"/>
        </w:rPr>
        <w:t xml:space="preserve"> </w:t>
      </w:r>
      <w:r w:rsidR="00107EB7" w:rsidRPr="002A6DBD">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10.1146/annurev.matsci.35.100303.110641","ISSN":"1531-7331","author":[{"dropping-particle":"","family":"Brøndsted","given":"Povl","non-dropping-particle":"","parse-names":false,"suffix":""},{"dropping-particle":"","family":"Lilholt","given":"Hans","non-dropping-particle":"","parse-names":false,"suffix":""},{"dropping-particle":"","family":"Lystrup","given":"Aage","non-dropping-particle":"","parse-names":false,"suffix":""}],"container-title":"Annual Review of Materials Research","id":"ITEM-1","issue":"1","issued":{"date-parts":[["2005","8","4"]]},"note":"P510 Young's Modulus and Density Graph","page":"505-538","title":"Composite Materials for Wind Power Turbine Blades","type":"article-journal","volume":"35"},"uris":["http://www.mendeley.com/documents/?uuid=97df7a98-7ce7-4c2e-956a-bf2fc4af38b8"]},{"id":"ITEM-2","itemData":{"DOI":"10.1260/1369-4332.13.5.783","ISBN":"1369-4332","ISSN":"13694332","abstract":"Fibre reinforced polymers (FRPs) are increasingly being used in construction due to their light weight, ease of installation, low maintenance, tailor made properties, and corrosion resistance. The UK FRP industry produces 240,000 tonnes of products a year with 11% of this being for the construction industry in a variety of structural and on-structural applications. Products made from FRP materials can offer significant environmental benefits, for example, FRPs used in bridges can reduce the overall weight of the structure and so offer reduced transport and installation impacts. However, although the in service environmental benefits of composites are known, there is far less understanding of the environmental and social implications associated with the manufacture of FRP materials and products. Current and impending waste management legislation will put more pressure on the industry to address the options available for dealing with FRP waste. Such waste legislation focuses on dealing with waste through the w aste hierarchy and will therefore put more pressure on solving FRP waste management through recycling and reuse. At present the most common disposal method for UK FRP waste is landfill. To assist in the transition from disposal in landfill to recycling, the FRP industry needs to consider designing materials and components for easier deconstruction, reuse and recycling at the end of the product life. This paper will highlight the key issues affecting the FRP industry, taking a cradle to grave approach and assessing the environmental impacts at each stage.","author":[{"dropping-particle":"","family":"Halliwell","given":"Sue","non-dropping-particle":"","parse-names":false,"suffix":""}],"container-title":"Advances in Structural Engineering","id":"ITEM-2","issue":"5","issued":{"date-parts":[["2010"]]},"page":"783-791","title":"FRPs - The environmental agenda","type":"article-journal","volume":"13"},"uris":["http://www.mendeley.com/documents/?uuid=fff90140-ac54-46dd-93bd-ce13dd90cded"]},{"id":"ITEM-3","itemData":{"author":[{"dropping-particle":"","family":"Corona","given":"Andrea","non-dropping-particle":"","parse-names":false,"suffix":""}],"id":"ITEM-3","issue":"October","issued":{"date-parts":[["2013"]]},"publisher":"Technical University of Denmark","title":"Quantitative sustainability assessment of bio-based materials for wind turbine rotor blades (Thesis)","type":"thesis"},"uris":["http://www.mendeley.com/documents/?uuid=2bffad72-4722-435a-9c23-35b72f10e151"]},{"id":"ITEM-4","itemData":{"author":[{"dropping-particle":"","family":"Liu","given":"Weisheng","non-dropping-particle":"","parse-names":false,"suffix":""}],"id":"ITEM-4","issued":{"date-parts":[["2014"]]},"publisher":"LZFRP","publisher-place":"Lianyungang","title":"CTO of LZFRP, Personal Communication","type":"article"},"uris":["http://www.mendeley.com/documents/?uuid=2f50b7bd-fb5e-42ff-91be-77a448c99a39"]},{"id":"ITEM-5","itemData":{"abstract":"Over the recent decades biomaterials have been marketed successfully supported by the common perception that biomaterials and environmental sustainability de facto represents two sides of the same coin. The development of sustainable composite materials for wind turbine blades for small-scale wind turbines have therefore partially been focused on substitution of conventional fibre materials with bio-fibres assuming that this substitution was in the better for the environment and human health. The major question is if this material substitution, taking into account a multitude of environmental impact categories, not only climate change, actually is supporting sustainable development or if the development of sustainable composite materials is more complex and perhaps even contra-intuitive due to complex trade-offs. Based on a case study 4 different types of fibres and fibre mixtures (flax, carbon, glass and flax/carbon, flax/glass mixed fibres) are compared in terms of environmental sustainability. Applying one of the most recent life cycle impact assessment methods, we demonstrate that the environmental sustainability of natural fibre based composite materials is similar or even lower, within certain impact categories, than the conventional materials. This observation may seem contra-intuitive (i.e. most people would expect the bio-based to be most sustainable), but is primarily caused by the fact that the resin demand of biobased reinforcement materials is by far larger than that of conventional reinforcement materials. Since the environmental burden of the resin in addition is comparable to that of the fibres (especially in terms human health related impacts), the higher resin demand counterbalances the environmental sustainability improvements, obtained with the application of natural fibres. 1.","author":[{"dropping-particle":"","family":"Corona","given":"Andrea","non-dropping-particle":"","parse-names":false,"suffix":""}],"container-title":"Wind Engineering","id":"ITEM-5","issue":"1","issued":{"date-parts":[["2015"]]},"page":"53-64","title":"Comparative Environmental Sustainability Assessment of Bio-Based Fibre Reinforcement Materials for Wind Turbine Blades","type":"article-journal","volume":"39"},"uris":["http://www.mendeley.com/documents/?uuid=3fc5723d-7a3d-4a5e-8982-d4320a55fbe8"]}],"mendeley":{"formattedCitation":"(Brøndsted et al., 2005; Corona, 2015, 2013; Halliwell, 2010; Liu, 2014)","plainTextFormattedCitation":"(Brøndsted et al., 2005; Corona, 2015, 2013; Halliwell, 2010; Liu, 2014)","previouslyFormattedCitation":"(Brøndsted et al., 2005; Corona, 2015, 2013; Halliwell, 2010; Liu, 2014)"},"properties":{"noteIndex":0},"schema":"https://github.com/citation-style-language/schema/raw/master/csl-citation.json"}</w:instrText>
      </w:r>
      <w:r w:rsidR="00107EB7" w:rsidRPr="002A6DBD">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(Brøndsted et al., 2005; Corona, 2015, 2013; Halliwell, 2010; Liu, 2014)</w:t>
      </w:r>
      <w:r w:rsidR="00107EB7" w:rsidRPr="002A6DBD">
        <w:rPr>
          <w:rFonts w:ascii="Helvetica" w:eastAsia="Times New Roman" w:hAnsi="Helvetica" w:cs="Times New Roman"/>
          <w:sz w:val="22"/>
          <w:szCs w:val="22"/>
          <w:lang w:eastAsia="en-GB"/>
        </w:rPr>
        <w:fldChar w:fldCharType="end"/>
      </w:r>
      <w:r w:rsidR="007A4A29">
        <w:rPr>
          <w:rFonts w:ascii="Helvetica" w:eastAsia="Times New Roman" w:hAnsi="Helvetica" w:cs="Times New Roman"/>
          <w:sz w:val="22"/>
          <w:szCs w:val="22"/>
          <w:lang w:eastAsia="en-GB"/>
        </w:rPr>
        <w:t xml:space="preserve">. </w:t>
      </w:r>
      <w:r w:rsidR="00F13B3F">
        <w:rPr>
          <w:rFonts w:ascii="Helvetica" w:eastAsia="Times New Roman" w:hAnsi="Helvetica" w:cs="Times New Roman"/>
          <w:sz w:val="22"/>
          <w:szCs w:val="22"/>
          <w:lang w:eastAsia="en-GB"/>
        </w:rPr>
        <w:t xml:space="preserve">Another approach has investigated using </w:t>
      </w:r>
      <w:r w:rsidRPr="002A6DBD">
        <w:rPr>
          <w:rFonts w:ascii="Helvetica" w:eastAsia="Times New Roman" w:hAnsi="Helvetica" w:cs="Times New Roman"/>
          <w:sz w:val="22"/>
          <w:szCs w:val="22"/>
          <w:lang w:eastAsia="en-GB"/>
        </w:rPr>
        <w:t>thermoplastic resins</w:t>
      </w:r>
      <w:r w:rsidR="00023944">
        <w:rPr>
          <w:rFonts w:ascii="Helvetica" w:eastAsia="Times New Roman" w:hAnsi="Helvetica" w:cs="Times New Roman"/>
          <w:sz w:val="22"/>
          <w:szCs w:val="22"/>
          <w:lang w:eastAsia="en-GB"/>
        </w:rPr>
        <w:t xml:space="preserve"> for the composite matrix</w:t>
      </w:r>
      <w:r w:rsidR="00F13B3F">
        <w:rPr>
          <w:rFonts w:ascii="Helvetica" w:eastAsia="Times New Roman" w:hAnsi="Helvetica" w:cs="Times New Roman"/>
          <w:sz w:val="22"/>
          <w:szCs w:val="22"/>
          <w:lang w:eastAsia="en-GB"/>
        </w:rPr>
        <w:t>,</w:t>
      </w:r>
      <w:r w:rsidRPr="002A6DBD">
        <w:rPr>
          <w:rFonts w:ascii="Helvetica" w:eastAsia="Times New Roman" w:hAnsi="Helvetica" w:cs="Times New Roman"/>
          <w:sz w:val="22"/>
          <w:szCs w:val="22"/>
          <w:lang w:eastAsia="en-GB"/>
        </w:rPr>
        <w:t xml:space="preserve"> </w:t>
      </w:r>
      <w:r w:rsidR="00023944">
        <w:rPr>
          <w:rFonts w:ascii="Helvetica" w:eastAsia="Times New Roman" w:hAnsi="Helvetica" w:cs="Times New Roman"/>
          <w:sz w:val="22"/>
          <w:szCs w:val="22"/>
          <w:lang w:eastAsia="en-GB"/>
        </w:rPr>
        <w:t>enabling remanufacture</w:t>
      </w:r>
      <w:r w:rsidRPr="002A6DBD">
        <w:rPr>
          <w:rFonts w:ascii="Helvetica" w:eastAsia="Times New Roman" w:hAnsi="Helvetica" w:cs="Times New Roman"/>
          <w:sz w:val="22"/>
          <w:szCs w:val="22"/>
          <w:lang w:eastAsia="en-GB"/>
        </w:rPr>
        <w:t xml:space="preserve"> </w:t>
      </w:r>
      <w:r w:rsidR="00107EB7" w:rsidRPr="002A6DBD">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{"citationItems":[{"id":"ITEM-1","itemData":{"DOI":"10.1016/S0034-3617(10)70029-1","ISSN":"00343617","author":[{"dropping-particle":"","family":"Marsh","given":"George","non-dropping-particle":"","parse-names":false,"suffix":""}],"container-title":"Reinforced Plastics","id":"ITEM-1","issue":"1","issued":{"date-parts":[["2010","1"]]},"page":"31-35","publisher":"Elsevier Ltd","title":"Could thermoplastics be the answer for utility-scale wind turbine blades?","type":"article-journal","volume":"54"},"uris":["http://www.mendeley.com/documents/?uuid=84b24522-803d-4e1c-a8e4-1d919f059432"]}],"mendeley":{"formattedCitation":"(Marsh, 2010)","plainTextFormattedCitation":"(Marsh, 2010)","previouslyFormattedCitation":"(Marsh, 2010)"},"properties":{"noteIndex":0},"schema":"https://github.com/citation-style-language/schema/raw/master/csl-citation.json"}</w:instrText>
      </w:r>
      <w:r w:rsidR="00107EB7" w:rsidRPr="002A6DBD">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(Marsh, 2010)</w:t>
      </w:r>
      <w:r w:rsidR="00107EB7" w:rsidRPr="002A6DBD">
        <w:rPr>
          <w:rFonts w:ascii="Helvetica" w:eastAsia="Times New Roman" w:hAnsi="Helvetica" w:cs="Times New Roman"/>
          <w:sz w:val="22"/>
          <w:szCs w:val="22"/>
          <w:lang w:eastAsia="en-GB"/>
        </w:rPr>
        <w:fldChar w:fldCharType="end"/>
      </w:r>
      <w:r w:rsidR="00023944">
        <w:rPr>
          <w:rFonts w:ascii="Helvetica" w:eastAsia="Times New Roman" w:hAnsi="Helvetica" w:cs="Times New Roman"/>
          <w:sz w:val="22"/>
          <w:szCs w:val="22"/>
          <w:lang w:eastAsia="en-GB"/>
        </w:rPr>
        <w:t>. However,</w:t>
      </w:r>
      <w:r w:rsidR="00F13B3F">
        <w:rPr>
          <w:rFonts w:ascii="Helvetica" w:eastAsia="Times New Roman" w:hAnsi="Helvetica" w:cs="Times New Roman"/>
          <w:sz w:val="22"/>
          <w:szCs w:val="22"/>
          <w:lang w:eastAsia="en-GB"/>
        </w:rPr>
        <w:t xml:space="preserve"> due to </w:t>
      </w:r>
      <w:r w:rsidR="00EA3B95">
        <w:rPr>
          <w:rFonts w:ascii="Helvetica" w:eastAsia="Times New Roman" w:hAnsi="Helvetica" w:cs="Times New Roman"/>
          <w:sz w:val="22"/>
          <w:szCs w:val="22"/>
          <w:lang w:eastAsia="en-GB"/>
        </w:rPr>
        <w:t>their</w:t>
      </w:r>
      <w:r w:rsidRPr="002A6DBD">
        <w:rPr>
          <w:rFonts w:ascii="Helvetica" w:eastAsia="Times New Roman" w:hAnsi="Helvetica" w:cs="Times New Roman"/>
          <w:sz w:val="22"/>
          <w:szCs w:val="22"/>
          <w:lang w:eastAsia="en-GB"/>
        </w:rPr>
        <w:t xml:space="preserve"> high viscosity and high costs </w:t>
      </w:r>
      <w:r w:rsidR="00023944">
        <w:rPr>
          <w:rFonts w:ascii="Helvetica" w:eastAsia="Times New Roman" w:hAnsi="Helvetica" w:cs="Times New Roman"/>
          <w:sz w:val="22"/>
          <w:szCs w:val="22"/>
          <w:lang w:eastAsia="en-GB"/>
        </w:rPr>
        <w:t>thermoplastic matrices have</w:t>
      </w:r>
      <w:r w:rsidRPr="002A6DBD">
        <w:rPr>
          <w:rFonts w:ascii="Helvetica" w:eastAsia="Times New Roman" w:hAnsi="Helvetica" w:cs="Times New Roman"/>
          <w:sz w:val="22"/>
          <w:szCs w:val="22"/>
          <w:lang w:eastAsia="en-GB"/>
        </w:rPr>
        <w:t xml:space="preserve"> not </w:t>
      </w:r>
      <w:r w:rsidR="00EA3B95">
        <w:rPr>
          <w:rFonts w:ascii="Helvetica" w:eastAsia="Times New Roman" w:hAnsi="Helvetica" w:cs="Times New Roman"/>
          <w:sz w:val="22"/>
          <w:szCs w:val="22"/>
          <w:lang w:eastAsia="en-GB"/>
        </w:rPr>
        <w:t xml:space="preserve">yet </w:t>
      </w:r>
      <w:r w:rsidRPr="002A6DBD">
        <w:rPr>
          <w:rFonts w:ascii="Helvetica" w:eastAsia="Times New Roman" w:hAnsi="Helvetica" w:cs="Times New Roman"/>
          <w:sz w:val="22"/>
          <w:szCs w:val="22"/>
          <w:lang w:eastAsia="en-GB"/>
        </w:rPr>
        <w:t xml:space="preserve">been used in </w:t>
      </w:r>
      <w:r w:rsidR="00023944">
        <w:rPr>
          <w:rFonts w:ascii="Helvetica" w:eastAsia="Times New Roman" w:hAnsi="Helvetica" w:cs="Times New Roman"/>
          <w:sz w:val="22"/>
          <w:szCs w:val="22"/>
          <w:lang w:eastAsia="en-GB"/>
        </w:rPr>
        <w:t xml:space="preserve">commercial </w:t>
      </w:r>
      <w:r w:rsidRPr="002A6DBD">
        <w:rPr>
          <w:rFonts w:ascii="Helvetica" w:eastAsia="Times New Roman" w:hAnsi="Helvetica" w:cs="Times New Roman"/>
          <w:sz w:val="22"/>
          <w:szCs w:val="22"/>
          <w:lang w:eastAsia="en-GB"/>
        </w:rPr>
        <w:t>WT blade production.</w:t>
      </w:r>
      <w:r w:rsidRPr="002A6DBD">
        <w:rPr>
          <w:rFonts w:ascii="Helvetica" w:eastAsia="Times New Roman" w:hAnsi="Helvetica" w:cs="Times New Roman" w:hint="eastAsia"/>
          <w:sz w:val="22"/>
          <w:szCs w:val="22"/>
          <w:lang w:eastAsia="en-GB"/>
        </w:rPr>
        <w:t xml:space="preserve"> </w:t>
      </w:r>
      <w:r w:rsidRPr="002A6DBD">
        <w:rPr>
          <w:rFonts w:ascii="Helvetica" w:eastAsia="Times New Roman" w:hAnsi="Helvetica" w:cs="Times New Roman"/>
          <w:sz w:val="22"/>
          <w:szCs w:val="22"/>
          <w:lang w:eastAsia="en-GB"/>
        </w:rPr>
        <w:t>Turning to the end of the lifecycle, the possible end-of-life (</w:t>
      </w:r>
      <w:proofErr w:type="spellStart"/>
      <w:r w:rsidRPr="002A6DBD">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processes for WT blade waste have been summarised and discussed in a few studies </w:t>
      </w:r>
      <w:r w:rsidR="00107EB7" w:rsidRPr="002A6DBD">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{"citationItems":[{"id":"ITEM-1","itemData":{"DOI":"10.1016/S1755-0084(09)70045-6","ISSN":"17550084","author":[{"dropping-particle":"","family":"Larsen","given":"Kari","non-dropping-particle":"","parse-names":false,"suffix":""}],"container-title":"Renewable Energy Focus","id":"ITEM-1","issue":"7","issued":{"date-parts":[["2009","1"]]},"page":"70-73","publisher":"Elsevier Ltd","title":"Recycling wind turbine blades","type":"article-journal","volume":"9"},"uris":["http://www.mendeley.com/documents/?uuid=0a836750-64bb-4e6b-933c-122c7912f990"]},{"id":"ITEM-2","itemData":{"author":[{"dropping-particle":"","family":"Beauson","given":"J","non-dropping-particle":"","parse-names":false,"suffix":""},{"dropping-particle":"","family":"Bech","given":"J Ilsted","non-dropping-particle":"","parse-names":false,"suffix":""},{"dropping-particle":"","family":"Brøndsted","given":"P","non-dropping-particle":"","parse-names":false,"suffix":""}],"container-title":"The 19th International conference on composite materials","id":"ITEM-2","issued":{"date-parts":[["2013"]]},"page":"8","publisher-place":"Montreal, Canada","title":"Composite recycling : Characterizing end of life wind turbine blade materials","type":"paper-conference"},"uris":["http://www.mendeley.com/documents/?uuid=85e1be30-6bd3-43b7-a859-e04bf52cc0f6"]},{"id":"ITEM-3","itemData":{"ISBN":"978-87-550-3969-8","abstract":"</w:instrText>
      </w:r>
      <w:r w:rsidR="00A17B85">
        <w:rPr>
          <w:rFonts w:ascii="Times New Roman" w:eastAsia="Times New Roman" w:hAnsi="Times New Roman" w:cs="Times New Roman"/>
          <w:sz w:val="22"/>
          <w:szCs w:val="22"/>
          <w:lang w:eastAsia="en-GB"/>
        </w:rPr>
        <w:instrText>→</w:instrText>
      </w:r>
      <w:r w:rsidR="00A17B85">
        <w:rPr>
          <w:rFonts w:ascii="Helvetica" w:eastAsia="Times New Roman" w:hAnsi="Helvetica" w:cs="Times New Roman"/>
          <w:sz w:val="22"/>
          <w:szCs w:val="22"/>
          <w:lang w:eastAsia="en-GB"/>
        </w:rPr>
        <w:instrText xml:space="preserve"> Wind turbines are one of the most environ-mentally sound technologies for producing electricity, and wind energy has very low environmental impacts. Within the life cycle of a wind turbine, however, the decommissioning phase has been identified as a blind spot when analysing the environmental impacts of wind power. Most previous impact analyses have focused primarily on the operational phase of the turbine's life cycle, and in some cases also on the manufacturing and installation phases. Because the wind turbine industry is relatively young, there is only a limited amount of practical experience in the removal and recycling of wind turbines. This is particularly true of offshore wind turbines, which are a fairly recent phenomenon. However, wind turbine recycling is rising up the agendas of policymakers, researchers and industri-alists. Several studies of the environmental impact of wind turbines have been carried out recently, along with technology development projects related to turbine recycling, especially for blades. Some man-ufacturers have also set targets for the recyclability of their wind turbines [1].","author":[{"dropping-particle":"","family":"Andersen","given":"Per Dannemand","non-dropping-particle":"","parse-names":false,"suffix":""},{"dropping-particle":"","family":"Bonou","given":"Alexandra","non-dropping-particle":"","parse-names":false,"suffix":""},{"dropping-particle":"","family":"Beauson","given":"J","non-dropping-particle":"","parse-names":false,"suffix":""},{"dropping-particle":"","family":"Brønsted","given":"P","non-dropping-particle":"","parse-names":false,"suffix":""}],"container-title":"DTU International Energy Report 2014","id":"ITEM-3","issue":"July","issued":{"date-parts":[["2014"]]},"number-of-pages":"91-98","title":"Recycling of wind turbines","type":"report"},"uris":["http://www.mendeley.com/documents/?uuid=ef0b71d6-cdf2-4a9f-ad52-abddf22fb755"]},{"id":"ITEM-4","itemData":{"DOI":"10.1007/978-3-319-39095-6","ISBN":"978-3-319-39094-9","author":[{"dropping-particle":"","family":"Beauson","given":"Justine","non-dropping-particle":"","parse-names":false,"suffix":""},{"dropping-particle":"","family":"Brøndsted","given":"Povl","non-dropping-particle":"","parse-names":false,"suffix":""}],"chapter-number":"23","container-title":"MARE-WINT","editor":[{"dropping-particle":"","family":"Ostachowicz","given":"Wiesław","non-dropping-particle":"","parse-names":false,"suffix":""}],"id":"ITEM-4","issued":{"date-parts":[["2016"]]},"note":"NULL","page":"421-432","publisher":"Springer","title":"Wind Turbine Blades: An End of Life Perspective","type":"chapter"},"uris":["http://www.mendeley.com/documents/?uuid=c94a1ec2-2d16-4086-b64e-a571b923b3f0"]}],"mendeley":{"formattedCitation":"(Andersen et al., 2014; Beauson et al., 2013; Beauson and Brøndsted, 2016; Larsen, 2009)","plainTextFormattedCitation":"(Andersen et al., 2014; Beauson et al., 2013; Beauson and Brøndsted, 2016; Larsen, 2009)","previouslyFormattedCitation":"(Andersen et al., 2014; Beauson et al., 2013; Beauson and Brøndsted, 2016; Larsen, 2009)"},"properties":{"noteIndex":0},"schema":"https://github.com/citation-style-language/schema/raw/master/csl-citation.json"}</w:instrText>
      </w:r>
      <w:r w:rsidR="00107EB7" w:rsidRPr="002A6DBD">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(Andersen et al., 2014; Beauson et al., 2013; Beauson and Brøndsted, 2016; Larsen, 2009)</w:t>
      </w:r>
      <w:r w:rsidR="00107EB7" w:rsidRPr="002A6DBD">
        <w:rPr>
          <w:rFonts w:ascii="Helvetica" w:eastAsia="Times New Roman" w:hAnsi="Helvetica" w:cs="Times New Roman"/>
          <w:sz w:val="22"/>
          <w:szCs w:val="22"/>
          <w:lang w:eastAsia="en-GB"/>
        </w:rPr>
        <w:fldChar w:fldCharType="end"/>
      </w:r>
      <w:r w:rsidRPr="002A6DBD">
        <w:rPr>
          <w:rFonts w:ascii="Helvetica" w:eastAsia="Times New Roman" w:hAnsi="Helvetica" w:cs="Times New Roman"/>
          <w:sz w:val="22"/>
          <w:szCs w:val="22"/>
          <w:lang w:eastAsia="en-GB"/>
        </w:rPr>
        <w:t xml:space="preserve">; these, however, </w:t>
      </w:r>
      <w:r w:rsidR="005E0E6C">
        <w:rPr>
          <w:rFonts w:ascii="Helvetica" w:eastAsia="Times New Roman" w:hAnsi="Helvetica" w:cs="Times New Roman"/>
          <w:sz w:val="22"/>
          <w:szCs w:val="22"/>
          <w:lang w:eastAsia="en-GB"/>
        </w:rPr>
        <w:t>provide incomplete coverage of</w:t>
      </w:r>
      <w:r w:rsidR="005E0E6C" w:rsidRPr="002A6DBD">
        <w:rPr>
          <w:rFonts w:ascii="Helvetica" w:eastAsia="Times New Roman" w:hAnsi="Helvetica" w:cs="Times New Roman"/>
          <w:sz w:val="22"/>
          <w:szCs w:val="22"/>
          <w:lang w:eastAsia="en-GB"/>
        </w:rPr>
        <w:t xml:space="preserve"> </w:t>
      </w:r>
      <w:r w:rsidRPr="002A6DBD">
        <w:rPr>
          <w:rFonts w:ascii="Helvetica" w:eastAsia="Times New Roman" w:hAnsi="Helvetica" w:cs="Times New Roman"/>
          <w:sz w:val="22"/>
          <w:szCs w:val="22"/>
          <w:lang w:eastAsia="en-GB"/>
        </w:rPr>
        <w:t xml:space="preserve">the advantages and disadvantages of </w:t>
      </w:r>
      <w:proofErr w:type="spellStart"/>
      <w:r w:rsidRPr="002A6DBD">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options, and mostly in </w:t>
      </w:r>
      <w:r w:rsidRPr="002A6DBD">
        <w:rPr>
          <w:rFonts w:ascii="Helvetica" w:eastAsia="Times New Roman" w:hAnsi="Helvetica" w:cs="Times New Roman" w:hint="eastAsia"/>
          <w:sz w:val="22"/>
          <w:szCs w:val="22"/>
          <w:lang w:eastAsia="en-GB"/>
        </w:rPr>
        <w:t>a</w:t>
      </w:r>
      <w:r w:rsidRPr="002A6DBD">
        <w:rPr>
          <w:rFonts w:ascii="Helvetica" w:eastAsia="Times New Roman" w:hAnsi="Helvetica" w:cs="Times New Roman"/>
          <w:sz w:val="22"/>
          <w:szCs w:val="22"/>
          <w:lang w:eastAsia="en-GB"/>
        </w:rPr>
        <w:t xml:space="preserve"> qualitative way. The research so far thus either covers one part of the WT blade </w:t>
      </w:r>
      <w:proofErr w:type="spellStart"/>
      <w:r w:rsidR="00392B03">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issue, or </w:t>
      </w:r>
      <w:r w:rsidRPr="002A6DBD">
        <w:rPr>
          <w:rFonts w:ascii="Helvetica" w:eastAsia="Times New Roman" w:hAnsi="Helvetica" w:cs="Times New Roman"/>
          <w:sz w:val="22"/>
          <w:szCs w:val="22"/>
          <w:lang w:eastAsia="en-GB"/>
        </w:rPr>
        <w:lastRenderedPageBreak/>
        <w:t xml:space="preserve">qualitatively assesses the problem without </w:t>
      </w:r>
      <w:r w:rsidRPr="002A6DBD">
        <w:rPr>
          <w:rFonts w:ascii="Helvetica" w:eastAsia="Times New Roman" w:hAnsi="Helvetica" w:cs="Times New Roman" w:hint="eastAsia"/>
          <w:sz w:val="22"/>
          <w:szCs w:val="22"/>
          <w:lang w:eastAsia="en-GB"/>
        </w:rPr>
        <w:t xml:space="preserve">enough </w:t>
      </w:r>
      <w:r w:rsidRPr="002A6DBD">
        <w:rPr>
          <w:rFonts w:ascii="Helvetica" w:eastAsia="Times New Roman" w:hAnsi="Helvetica" w:cs="Times New Roman"/>
          <w:sz w:val="22"/>
          <w:szCs w:val="22"/>
          <w:lang w:eastAsia="en-GB"/>
        </w:rPr>
        <w:t xml:space="preserve">supporting data, or in minimum detail. </w:t>
      </w:r>
      <w:r w:rsidR="00960E10">
        <w:rPr>
          <w:rFonts w:ascii="Helvetica" w:eastAsia="Times New Roman" w:hAnsi="Helvetica" w:cs="Times New Roman"/>
          <w:sz w:val="22"/>
          <w:szCs w:val="22"/>
          <w:lang w:eastAsia="en-GB"/>
        </w:rPr>
        <w:t xml:space="preserve">There is a clear knowledge gap here. </w:t>
      </w:r>
    </w:p>
    <w:p w14:paraId="589A55F1" w14:textId="698F4373" w:rsidR="0045012C" w:rsidRPr="00AF5A31" w:rsidRDefault="0045012C" w:rsidP="00B44120">
      <w:pPr>
        <w:tabs>
          <w:tab w:val="left" w:pos="851"/>
        </w:tabs>
        <w:spacing w:before="120" w:line="360" w:lineRule="auto"/>
        <w:rPr>
          <w:rFonts w:ascii="Helvetica" w:eastAsia="Times New Roman" w:hAnsi="Helvetica" w:cs="Times New Roman"/>
          <w:sz w:val="22"/>
          <w:szCs w:val="22"/>
          <w:lang w:eastAsia="en-GB"/>
        </w:rPr>
      </w:pPr>
      <w:r>
        <w:rPr>
          <w:rFonts w:ascii="Helvetica" w:eastAsia="Times New Roman" w:hAnsi="Helvetica" w:cs="Times New Roman"/>
          <w:sz w:val="22"/>
          <w:szCs w:val="22"/>
          <w:lang w:eastAsia="en-GB"/>
        </w:rPr>
        <w:t>The present study has found f</w:t>
      </w:r>
      <w:r w:rsidRPr="002A6DBD">
        <w:rPr>
          <w:rFonts w:ascii="Helvetica" w:eastAsia="Times New Roman" w:hAnsi="Helvetica" w:cs="Times New Roman"/>
          <w:sz w:val="22"/>
          <w:szCs w:val="22"/>
          <w:lang w:eastAsia="en-GB"/>
        </w:rPr>
        <w:t xml:space="preserve">rom visits to WT blade manufacturers and </w:t>
      </w:r>
      <w:r w:rsidR="00024F77">
        <w:rPr>
          <w:rFonts w:ascii="Helvetica" w:eastAsia="Times New Roman" w:hAnsi="Helvetica" w:cs="Times New Roman"/>
          <w:sz w:val="22"/>
          <w:szCs w:val="22"/>
          <w:lang w:eastAsia="en-GB"/>
        </w:rPr>
        <w:t xml:space="preserve">from </w:t>
      </w:r>
      <w:r w:rsidRPr="002A6DBD">
        <w:rPr>
          <w:rFonts w:ascii="Helvetica" w:eastAsia="Times New Roman" w:hAnsi="Helvetica" w:cs="Times New Roman"/>
          <w:sz w:val="22"/>
          <w:szCs w:val="22"/>
          <w:lang w:eastAsia="en-GB"/>
        </w:rPr>
        <w:t>information gathered from industry exhibitions</w:t>
      </w:r>
      <w:r>
        <w:rPr>
          <w:rFonts w:ascii="Helvetica" w:eastAsia="Times New Roman" w:hAnsi="Helvetica" w:cs="Times New Roman"/>
          <w:sz w:val="22"/>
          <w:szCs w:val="22"/>
          <w:lang w:eastAsia="en-GB"/>
        </w:rPr>
        <w:t xml:space="preserve"> that</w:t>
      </w:r>
      <w:r w:rsidRPr="002A6DBD">
        <w:rPr>
          <w:rFonts w:ascii="Helvetica" w:eastAsia="Times New Roman" w:hAnsi="Helvetica" w:cs="Times New Roman"/>
          <w:sz w:val="22"/>
          <w:szCs w:val="22"/>
          <w:lang w:eastAsia="en-GB"/>
        </w:rPr>
        <w:t xml:space="preserve"> there is good general awareness </w:t>
      </w:r>
      <w:r>
        <w:rPr>
          <w:rFonts w:ascii="Helvetica" w:eastAsia="Times New Roman" w:hAnsi="Helvetica" w:cs="Times New Roman"/>
          <w:sz w:val="22"/>
          <w:szCs w:val="22"/>
          <w:lang w:eastAsia="en-GB"/>
        </w:rPr>
        <w:t xml:space="preserve">in the sector </w:t>
      </w:r>
      <w:r w:rsidR="00024F77">
        <w:rPr>
          <w:rFonts w:ascii="Helvetica" w:eastAsia="Times New Roman" w:hAnsi="Helvetica" w:cs="Times New Roman"/>
          <w:sz w:val="22"/>
          <w:szCs w:val="22"/>
          <w:lang w:eastAsia="en-GB"/>
        </w:rPr>
        <w:t xml:space="preserve">that </w:t>
      </w:r>
      <w:proofErr w:type="spellStart"/>
      <w:r w:rsidR="00024F77">
        <w:rPr>
          <w:rFonts w:ascii="Helvetica" w:eastAsia="Times New Roman" w:hAnsi="Helvetica" w:cs="Times New Roman"/>
          <w:sz w:val="22"/>
          <w:szCs w:val="22"/>
          <w:lang w:eastAsia="en-GB"/>
        </w:rPr>
        <w:t>EoL</w:t>
      </w:r>
      <w:proofErr w:type="spellEnd"/>
      <w:r w:rsidR="00024F77">
        <w:rPr>
          <w:rFonts w:ascii="Helvetica" w:eastAsia="Times New Roman" w:hAnsi="Helvetica" w:cs="Times New Roman"/>
          <w:sz w:val="22"/>
          <w:szCs w:val="22"/>
          <w:lang w:eastAsia="en-GB"/>
        </w:rPr>
        <w:t xml:space="preserve"> is a problem, but there is little appreciation of </w:t>
      </w:r>
      <w:r w:rsidRPr="002A6DBD">
        <w:rPr>
          <w:rFonts w:ascii="Helvetica" w:eastAsia="Times New Roman" w:hAnsi="Helvetica" w:cs="Times New Roman"/>
          <w:sz w:val="22"/>
          <w:szCs w:val="22"/>
          <w:lang w:eastAsia="en-GB"/>
        </w:rPr>
        <w:t xml:space="preserve">the </w:t>
      </w:r>
      <w:r w:rsidRPr="002A6DBD">
        <w:rPr>
          <w:rFonts w:ascii="Helvetica" w:eastAsia="Times New Roman" w:hAnsi="Helvetica" w:cs="Times New Roman" w:hint="eastAsia"/>
          <w:sz w:val="22"/>
          <w:szCs w:val="22"/>
          <w:lang w:eastAsia="en-GB"/>
        </w:rPr>
        <w:t>ma</w:t>
      </w:r>
      <w:r w:rsidRPr="002A6DBD">
        <w:rPr>
          <w:rFonts w:ascii="Helvetica" w:eastAsia="Times New Roman" w:hAnsi="Helvetica" w:cs="Times New Roman"/>
          <w:sz w:val="22"/>
          <w:szCs w:val="22"/>
          <w:lang w:eastAsia="en-GB"/>
        </w:rPr>
        <w:t xml:space="preserve">gnitude of its severity and </w:t>
      </w:r>
      <w:r w:rsidR="00024F77">
        <w:rPr>
          <w:rFonts w:ascii="Helvetica" w:eastAsia="Times New Roman" w:hAnsi="Helvetica" w:cs="Times New Roman"/>
          <w:sz w:val="22"/>
          <w:szCs w:val="22"/>
          <w:lang w:eastAsia="en-GB"/>
        </w:rPr>
        <w:t xml:space="preserve">lack of guidance on appropriate options. </w:t>
      </w:r>
      <w:r>
        <w:rPr>
          <w:rFonts w:ascii="Helvetica" w:eastAsia="Times New Roman" w:hAnsi="Helvetica" w:cs="Times New Roman"/>
          <w:sz w:val="22"/>
          <w:szCs w:val="22"/>
          <w:lang w:eastAsia="en-GB"/>
        </w:rPr>
        <w:t>W</w:t>
      </w:r>
      <w:r w:rsidRPr="002A6DBD">
        <w:rPr>
          <w:rFonts w:ascii="Helvetica" w:eastAsia="Times New Roman" w:hAnsi="Helvetica" w:cs="Times New Roman"/>
          <w:sz w:val="22"/>
          <w:szCs w:val="22"/>
          <w:lang w:eastAsia="en-GB"/>
        </w:rPr>
        <w:t xml:space="preserve">e </w:t>
      </w:r>
      <w:r w:rsidR="0038078B">
        <w:rPr>
          <w:rFonts w:ascii="Helvetica" w:eastAsia="Times New Roman" w:hAnsi="Helvetica" w:cs="Times New Roman"/>
          <w:sz w:val="22"/>
          <w:szCs w:val="22"/>
          <w:lang w:eastAsia="en-GB"/>
        </w:rPr>
        <w:t xml:space="preserve">are </w:t>
      </w:r>
      <w:r>
        <w:rPr>
          <w:rFonts w:ascii="Helvetica" w:eastAsia="Times New Roman" w:hAnsi="Helvetica" w:cs="Times New Roman"/>
          <w:sz w:val="22"/>
          <w:szCs w:val="22"/>
          <w:lang w:eastAsia="en-GB"/>
        </w:rPr>
        <w:t xml:space="preserve">therefore </w:t>
      </w:r>
      <w:r w:rsidR="0038078B">
        <w:rPr>
          <w:rFonts w:ascii="Helvetica" w:eastAsia="Times New Roman" w:hAnsi="Helvetica" w:cs="Times New Roman"/>
          <w:sz w:val="22"/>
          <w:szCs w:val="22"/>
          <w:lang w:eastAsia="en-GB"/>
        </w:rPr>
        <w:t>using</w:t>
      </w:r>
      <w:r w:rsidRPr="002A6DBD">
        <w:rPr>
          <w:rFonts w:ascii="Helvetica" w:eastAsia="Times New Roman" w:hAnsi="Helvetica" w:cs="Times New Roman"/>
          <w:sz w:val="22"/>
          <w:szCs w:val="22"/>
          <w:lang w:eastAsia="en-GB"/>
        </w:rPr>
        <w:t xml:space="preserve"> a quantitative approach to provide a thorough analysis of the </w:t>
      </w:r>
      <w:proofErr w:type="spellStart"/>
      <w:r w:rsidRPr="002A6DBD">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options</w:t>
      </w:r>
      <w:r w:rsidR="0038078B">
        <w:rPr>
          <w:rFonts w:ascii="Helvetica" w:eastAsia="Times New Roman" w:hAnsi="Helvetica" w:cs="Times New Roman"/>
          <w:sz w:val="22"/>
          <w:szCs w:val="22"/>
          <w:lang w:eastAsia="en-GB"/>
        </w:rPr>
        <w:t xml:space="preserve"> in terms of environmental impact, aiming to </w:t>
      </w:r>
      <w:r w:rsidRPr="002A6DBD">
        <w:rPr>
          <w:rFonts w:ascii="Helvetica" w:eastAsia="Times New Roman" w:hAnsi="Helvetica" w:cs="Times New Roman"/>
          <w:sz w:val="22"/>
          <w:szCs w:val="22"/>
          <w:lang w:eastAsia="en-GB"/>
        </w:rPr>
        <w:t>form</w:t>
      </w:r>
      <w:r>
        <w:rPr>
          <w:rFonts w:ascii="Helvetica" w:eastAsia="Times New Roman" w:hAnsi="Helvetica" w:cs="Times New Roman"/>
          <w:sz w:val="22"/>
          <w:szCs w:val="22"/>
          <w:lang w:eastAsia="en-GB"/>
        </w:rPr>
        <w:t>ulate</w:t>
      </w:r>
      <w:r w:rsidRPr="002A6DBD">
        <w:rPr>
          <w:rFonts w:ascii="Helvetica" w:eastAsia="Times New Roman" w:hAnsi="Helvetica" w:cs="Times New Roman"/>
          <w:sz w:val="22"/>
          <w:szCs w:val="22"/>
          <w:lang w:eastAsia="en-GB"/>
        </w:rPr>
        <w:t xml:space="preserve"> guidelines </w:t>
      </w:r>
      <w:r w:rsidR="0038078B">
        <w:rPr>
          <w:rFonts w:ascii="Helvetica" w:eastAsia="Times New Roman" w:hAnsi="Helvetica" w:cs="Times New Roman"/>
          <w:sz w:val="22"/>
          <w:szCs w:val="22"/>
          <w:lang w:eastAsia="en-GB"/>
        </w:rPr>
        <w:t>t</w:t>
      </w:r>
      <w:r w:rsidRPr="002A6DBD">
        <w:rPr>
          <w:rFonts w:ascii="Helvetica" w:eastAsia="Times New Roman" w:hAnsi="Helvetica" w:cs="Times New Roman"/>
          <w:sz w:val="22"/>
          <w:szCs w:val="22"/>
          <w:lang w:eastAsia="en-GB"/>
        </w:rPr>
        <w:t>o aid industry and policy makers.</w:t>
      </w:r>
    </w:p>
    <w:p w14:paraId="33DFE7AD" w14:textId="606CEEA1" w:rsidR="00CA6CC7" w:rsidRPr="00FD397E" w:rsidRDefault="00CA6CC7" w:rsidP="00B44120">
      <w:pPr>
        <w:tabs>
          <w:tab w:val="left" w:pos="851"/>
        </w:tabs>
        <w:spacing w:before="120" w:line="360" w:lineRule="auto"/>
        <w:rPr>
          <w:rFonts w:ascii="Helvetica" w:eastAsia="Hannotate SC Regular" w:hAnsi="Helvetica" w:cs="Times New Roman"/>
          <w:sz w:val="22"/>
          <w:szCs w:val="22"/>
        </w:rPr>
      </w:pPr>
      <w:r w:rsidRPr="002A6DBD">
        <w:rPr>
          <w:rFonts w:ascii="Helvetica" w:eastAsia="Times New Roman" w:hAnsi="Helvetica" w:cs="Times New Roman"/>
          <w:sz w:val="22"/>
          <w:szCs w:val="22"/>
          <w:lang w:eastAsia="en-GB"/>
        </w:rPr>
        <w:t xml:space="preserve">In the first part of this </w:t>
      </w:r>
      <w:r>
        <w:rPr>
          <w:rFonts w:ascii="Helvetica" w:eastAsia="Times New Roman" w:hAnsi="Helvetica" w:cs="Times New Roman"/>
          <w:sz w:val="22"/>
          <w:szCs w:val="22"/>
          <w:lang w:eastAsia="en-GB"/>
        </w:rPr>
        <w:t>paper</w:t>
      </w:r>
      <w:r w:rsidRPr="002A6DBD">
        <w:rPr>
          <w:rFonts w:ascii="Helvetica" w:eastAsia="Times New Roman" w:hAnsi="Helvetica" w:cs="Times New Roman"/>
          <w:sz w:val="22"/>
          <w:szCs w:val="22"/>
          <w:lang w:eastAsia="en-GB"/>
        </w:rPr>
        <w:t>, relevant literature is reviewed</w:t>
      </w:r>
      <w:r w:rsidRPr="002A6DBD">
        <w:rPr>
          <w:rFonts w:ascii="Helvetica" w:eastAsia="Times New Roman" w:hAnsi="Helvetica" w:cs="Times New Roman" w:hint="eastAsia"/>
          <w:sz w:val="22"/>
          <w:szCs w:val="22"/>
          <w:lang w:eastAsia="en-GB"/>
        </w:rPr>
        <w:t xml:space="preserve"> </w:t>
      </w:r>
      <w:r w:rsidRPr="002A6DBD">
        <w:rPr>
          <w:rFonts w:ascii="Helvetica" w:eastAsia="Times New Roman" w:hAnsi="Helvetica" w:cs="Times New Roman"/>
          <w:sz w:val="22"/>
          <w:szCs w:val="22"/>
          <w:lang w:eastAsia="en-GB"/>
        </w:rPr>
        <w:t xml:space="preserve">and the incentives </w:t>
      </w:r>
      <w:r w:rsidR="00DA059F">
        <w:rPr>
          <w:rFonts w:ascii="Helvetica" w:eastAsia="Times New Roman" w:hAnsi="Helvetica" w:cs="Times New Roman"/>
          <w:sz w:val="22"/>
          <w:szCs w:val="22"/>
          <w:lang w:eastAsia="en-GB"/>
        </w:rPr>
        <w:t>for</w:t>
      </w:r>
      <w:r w:rsidRPr="002A6DBD">
        <w:rPr>
          <w:rFonts w:ascii="Helvetica" w:eastAsia="Times New Roman" w:hAnsi="Helvetica" w:cs="Times New Roman"/>
          <w:sz w:val="22"/>
          <w:szCs w:val="22"/>
          <w:lang w:eastAsia="en-GB"/>
        </w:rPr>
        <w:t xml:space="preserve"> undertak</w:t>
      </w:r>
      <w:r w:rsidR="00DA059F">
        <w:rPr>
          <w:rFonts w:ascii="Helvetica" w:eastAsia="Times New Roman" w:hAnsi="Helvetica" w:cs="Times New Roman"/>
          <w:sz w:val="22"/>
          <w:szCs w:val="22"/>
          <w:lang w:eastAsia="en-GB"/>
        </w:rPr>
        <w:t>ing</w:t>
      </w:r>
      <w:r w:rsidRPr="002A6DBD">
        <w:rPr>
          <w:rFonts w:ascii="Helvetica" w:eastAsia="Times New Roman" w:hAnsi="Helvetica" w:cs="Times New Roman"/>
          <w:sz w:val="22"/>
          <w:szCs w:val="22"/>
          <w:lang w:eastAsia="en-GB"/>
        </w:rPr>
        <w:t xml:space="preserve"> the analysis of </w:t>
      </w:r>
      <w:proofErr w:type="spellStart"/>
      <w:r w:rsidRPr="002A6DBD">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options are explained. The environmental impacts of each </w:t>
      </w:r>
      <w:proofErr w:type="spellStart"/>
      <w:r w:rsidRPr="002A6DBD">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option are then discussed</w:t>
      </w:r>
      <w:r w:rsidR="00575D81">
        <w:rPr>
          <w:rFonts w:ascii="Helvetica" w:eastAsia="Times New Roman" w:hAnsi="Helvetica" w:cs="Times New Roman"/>
          <w:sz w:val="22"/>
          <w:szCs w:val="22"/>
          <w:lang w:eastAsia="en-GB"/>
        </w:rPr>
        <w:t>, looking at</w:t>
      </w:r>
      <w:r w:rsidRPr="002A6DBD">
        <w:rPr>
          <w:rFonts w:ascii="Helvetica" w:eastAsia="Times New Roman" w:hAnsi="Helvetica" w:cs="Times New Roman"/>
          <w:sz w:val="22"/>
          <w:szCs w:val="22"/>
          <w:lang w:eastAsia="en-GB"/>
        </w:rPr>
        <w:t xml:space="preserve"> </w:t>
      </w:r>
      <w:proofErr w:type="spellStart"/>
      <w:r w:rsidRPr="002A6DBD">
        <w:rPr>
          <w:rFonts w:ascii="Helvetica" w:eastAsia="Times New Roman" w:hAnsi="Helvetica" w:cs="Times New Roman"/>
          <w:sz w:val="22"/>
          <w:szCs w:val="22"/>
          <w:lang w:eastAsia="en-GB"/>
        </w:rPr>
        <w:t>EoL</w:t>
      </w:r>
      <w:proofErr w:type="spellEnd"/>
      <w:r w:rsidRPr="002A6DBD">
        <w:rPr>
          <w:rFonts w:ascii="Helvetica" w:eastAsia="Times New Roman" w:hAnsi="Helvetica" w:cs="Times New Roman"/>
          <w:sz w:val="22"/>
          <w:szCs w:val="22"/>
          <w:lang w:eastAsia="en-GB"/>
        </w:rPr>
        <w:t xml:space="preserve"> processing energy consumption, the recycling benefits and the effect of blade technology development trends. In the final section, we </w:t>
      </w:r>
      <w:r w:rsidR="00DA059F">
        <w:rPr>
          <w:rFonts w:ascii="Helvetica" w:eastAsia="Times New Roman" w:hAnsi="Helvetica" w:cs="Times New Roman"/>
          <w:sz w:val="22"/>
          <w:szCs w:val="22"/>
          <w:lang w:eastAsia="en-GB"/>
        </w:rPr>
        <w:t>integrate</w:t>
      </w:r>
      <w:r w:rsidR="00DA059F" w:rsidRPr="002A6DBD">
        <w:rPr>
          <w:rFonts w:ascii="Helvetica" w:eastAsia="Times New Roman" w:hAnsi="Helvetica" w:cs="Times New Roman"/>
          <w:sz w:val="22"/>
          <w:szCs w:val="22"/>
          <w:lang w:eastAsia="en-GB"/>
        </w:rPr>
        <w:t xml:space="preserve"> </w:t>
      </w:r>
      <w:r w:rsidRPr="002A6DBD">
        <w:rPr>
          <w:rFonts w:ascii="Helvetica" w:eastAsia="Times New Roman" w:hAnsi="Helvetica" w:cs="Times New Roman"/>
          <w:sz w:val="22"/>
          <w:szCs w:val="22"/>
          <w:lang w:eastAsia="en-GB"/>
        </w:rPr>
        <w:t xml:space="preserve">our findings </w:t>
      </w:r>
      <w:r w:rsidR="008D0C48">
        <w:rPr>
          <w:rFonts w:ascii="Helvetica" w:eastAsia="Times New Roman" w:hAnsi="Helvetica" w:cs="Times New Roman"/>
          <w:sz w:val="22"/>
          <w:szCs w:val="22"/>
          <w:lang w:eastAsia="en-GB"/>
        </w:rPr>
        <w:t>with data from the literature on</w:t>
      </w:r>
      <w:r>
        <w:rPr>
          <w:rFonts w:ascii="Helvetica" w:eastAsia="Times New Roman" w:hAnsi="Helvetica" w:cs="Times New Roman"/>
          <w:sz w:val="22"/>
          <w:szCs w:val="22"/>
          <w:lang w:eastAsia="en-GB"/>
        </w:rPr>
        <w:t xml:space="preserve"> environmental impact </w:t>
      </w:r>
      <w:r w:rsidR="008D0C48">
        <w:rPr>
          <w:rFonts w:ascii="Helvetica" w:eastAsia="Times New Roman" w:hAnsi="Helvetica" w:cs="Times New Roman"/>
          <w:sz w:val="22"/>
          <w:szCs w:val="22"/>
          <w:lang w:eastAsia="en-GB"/>
        </w:rPr>
        <w:t xml:space="preserve">using different scenarios </w:t>
      </w:r>
      <w:r w:rsidR="00D94C14">
        <w:rPr>
          <w:rFonts w:ascii="Helvetica" w:eastAsia="Times New Roman" w:hAnsi="Helvetica" w:cs="Times New Roman"/>
          <w:sz w:val="22"/>
          <w:szCs w:val="22"/>
          <w:lang w:eastAsia="en-GB"/>
        </w:rPr>
        <w:t xml:space="preserve">of future predictions </w:t>
      </w:r>
      <w:r w:rsidR="008D0C48">
        <w:rPr>
          <w:rFonts w:ascii="Helvetica" w:eastAsia="Times New Roman" w:hAnsi="Helvetica" w:cs="Times New Roman"/>
          <w:sz w:val="22"/>
          <w:szCs w:val="22"/>
          <w:lang w:eastAsia="en-GB"/>
        </w:rPr>
        <w:t xml:space="preserve">to </w:t>
      </w:r>
      <w:r w:rsidR="00D94C14">
        <w:rPr>
          <w:rFonts w:ascii="Helvetica" w:eastAsia="Times New Roman" w:hAnsi="Helvetica" w:cs="Times New Roman"/>
          <w:sz w:val="22"/>
          <w:szCs w:val="22"/>
          <w:lang w:eastAsia="en-GB"/>
        </w:rPr>
        <w:t>provide recommendations for ‘optimal’ solutions. This analysis also enables insight into wh</w:t>
      </w:r>
      <w:r w:rsidR="000D789B">
        <w:rPr>
          <w:rFonts w:ascii="Helvetica" w:eastAsia="Times New Roman" w:hAnsi="Helvetica" w:cs="Times New Roman"/>
          <w:sz w:val="22"/>
          <w:szCs w:val="22"/>
          <w:lang w:eastAsia="en-GB"/>
        </w:rPr>
        <w:t>ere the greatest benefits would derive from</w:t>
      </w:r>
      <w:r w:rsidR="00D94C14">
        <w:rPr>
          <w:rFonts w:ascii="Helvetica" w:eastAsia="Times New Roman" w:hAnsi="Helvetica" w:cs="Times New Roman"/>
          <w:sz w:val="22"/>
          <w:szCs w:val="22"/>
          <w:lang w:eastAsia="en-GB"/>
        </w:rPr>
        <w:t xml:space="preserve"> </w:t>
      </w:r>
      <w:proofErr w:type="spellStart"/>
      <w:r w:rsidR="00D94C14">
        <w:rPr>
          <w:rFonts w:ascii="Helvetica" w:eastAsia="Times New Roman" w:hAnsi="Helvetica" w:cs="Times New Roman"/>
          <w:sz w:val="22"/>
          <w:szCs w:val="22"/>
          <w:lang w:eastAsia="en-GB"/>
        </w:rPr>
        <w:t>EoL</w:t>
      </w:r>
      <w:proofErr w:type="spellEnd"/>
      <w:r w:rsidR="00D94C14">
        <w:rPr>
          <w:rFonts w:ascii="Helvetica" w:eastAsia="Times New Roman" w:hAnsi="Helvetica" w:cs="Times New Roman"/>
          <w:sz w:val="22"/>
          <w:szCs w:val="22"/>
          <w:lang w:eastAsia="en-GB"/>
        </w:rPr>
        <w:t xml:space="preserve"> process</w:t>
      </w:r>
      <w:r w:rsidR="000D789B">
        <w:rPr>
          <w:rFonts w:ascii="Helvetica" w:eastAsia="Times New Roman" w:hAnsi="Helvetica" w:cs="Times New Roman"/>
          <w:sz w:val="22"/>
          <w:szCs w:val="22"/>
          <w:lang w:eastAsia="en-GB"/>
        </w:rPr>
        <w:t xml:space="preserve"> development.</w:t>
      </w:r>
    </w:p>
    <w:p w14:paraId="2FC7AB9E" w14:textId="77777777" w:rsidR="00B44120" w:rsidRDefault="00B44120" w:rsidP="00B44120">
      <w:pPr>
        <w:pStyle w:val="Heading1"/>
      </w:pPr>
      <w:bookmarkStart w:id="1" w:name="_Toc486504204"/>
      <w:r w:rsidRPr="002A6DBD">
        <w:t>M</w:t>
      </w:r>
      <w:r w:rsidRPr="002A6DBD">
        <w:rPr>
          <w:rFonts w:hint="eastAsia"/>
        </w:rPr>
        <w:t>et</w:t>
      </w:r>
      <w:r w:rsidRPr="002A6DBD">
        <w:t>hodology</w:t>
      </w:r>
    </w:p>
    <w:p w14:paraId="65D67EEA" w14:textId="0C572C35" w:rsidR="008B1A84" w:rsidRPr="00FF14B7" w:rsidRDefault="008B1A84" w:rsidP="00AA3E9D">
      <w:pPr>
        <w:tabs>
          <w:tab w:val="left" w:pos="851"/>
        </w:tabs>
        <w:spacing w:before="120" w:line="360" w:lineRule="auto"/>
        <w:rPr>
          <w:rFonts w:ascii="Helvetica" w:eastAsia="Times New Roman" w:hAnsi="Helvetica" w:cs="Times New Roman"/>
          <w:sz w:val="22"/>
          <w:szCs w:val="22"/>
          <w:lang w:eastAsia="en-GB"/>
        </w:rPr>
      </w:pPr>
      <w:r w:rsidRPr="008B1A84">
        <w:rPr>
          <w:rFonts w:ascii="Helvetica" w:eastAsia="Times New Roman" w:hAnsi="Helvetica" w:cs="Times New Roman"/>
          <w:sz w:val="22"/>
          <w:szCs w:val="22"/>
          <w:lang w:eastAsia="en-GB"/>
        </w:rPr>
        <w:t xml:space="preserve">An eco-audit is a </w:t>
      </w:r>
      <w:r w:rsidR="007F1F37">
        <w:rPr>
          <w:rFonts w:ascii="Helvetica" w:eastAsia="Times New Roman" w:hAnsi="Helvetica" w:cs="Times New Roman"/>
          <w:sz w:val="22"/>
          <w:szCs w:val="22"/>
          <w:lang w:eastAsia="en-GB"/>
        </w:rPr>
        <w:t>streamlined</w:t>
      </w:r>
      <w:r w:rsidR="007F1F37" w:rsidRPr="008B1A84">
        <w:rPr>
          <w:rFonts w:ascii="Helvetica" w:eastAsia="Times New Roman" w:hAnsi="Helvetica" w:cs="Times New Roman"/>
          <w:sz w:val="22"/>
          <w:szCs w:val="22"/>
          <w:lang w:eastAsia="en-GB"/>
        </w:rPr>
        <w:t xml:space="preserve"> </w:t>
      </w:r>
      <w:r w:rsidR="00CA3D7E">
        <w:rPr>
          <w:rFonts w:ascii="Helvetica" w:eastAsia="Times New Roman" w:hAnsi="Helvetica" w:cs="Times New Roman"/>
          <w:sz w:val="22"/>
          <w:szCs w:val="22"/>
          <w:lang w:eastAsia="en-GB"/>
        </w:rPr>
        <w:t xml:space="preserve">lifecycle </w:t>
      </w:r>
      <w:r w:rsidRPr="008B1A84">
        <w:rPr>
          <w:rFonts w:ascii="Helvetica" w:eastAsia="Times New Roman" w:hAnsi="Helvetica" w:cs="Times New Roman"/>
          <w:sz w:val="22"/>
          <w:szCs w:val="22"/>
          <w:lang w:eastAsia="en-GB"/>
        </w:rPr>
        <w:t xml:space="preserve">assessment that </w:t>
      </w:r>
      <w:r w:rsidR="00CA3D7E">
        <w:rPr>
          <w:rFonts w:ascii="Helvetica" w:eastAsia="Times New Roman" w:hAnsi="Helvetica" w:cs="Times New Roman"/>
          <w:sz w:val="22"/>
          <w:szCs w:val="22"/>
          <w:lang w:eastAsia="en-GB"/>
        </w:rPr>
        <w:t>enables comparison of environmental impact of different products, materials and processes</w:t>
      </w:r>
      <w:r w:rsidR="00A7779E">
        <w:rPr>
          <w:rFonts w:ascii="Helvetica" w:eastAsia="Times New Roman" w:hAnsi="Helvetica" w:cs="Times New Roman"/>
          <w:sz w:val="22"/>
          <w:szCs w:val="22"/>
          <w:lang w:eastAsia="en-GB"/>
        </w:rPr>
        <w:t>, focusing only</w:t>
      </w:r>
      <w:r w:rsidR="00CA3D7E">
        <w:rPr>
          <w:rFonts w:ascii="Helvetica" w:eastAsia="Times New Roman" w:hAnsi="Helvetica" w:cs="Times New Roman"/>
          <w:sz w:val="22"/>
          <w:szCs w:val="22"/>
          <w:lang w:eastAsia="en-GB"/>
        </w:rPr>
        <w:t xml:space="preserve"> on energy consumption and CO</w:t>
      </w:r>
      <w:r w:rsidR="00CA3D7E" w:rsidRPr="00641233">
        <w:rPr>
          <w:rFonts w:ascii="Helvetica" w:eastAsia="Times New Roman" w:hAnsi="Helvetica" w:cs="Times New Roman"/>
          <w:sz w:val="22"/>
          <w:szCs w:val="22"/>
          <w:vertAlign w:val="subscript"/>
          <w:lang w:eastAsia="en-GB"/>
        </w:rPr>
        <w:t>2</w:t>
      </w:r>
      <w:r w:rsidR="00CA3D7E">
        <w:rPr>
          <w:rFonts w:ascii="Helvetica" w:eastAsia="Times New Roman" w:hAnsi="Helvetica" w:cs="Times New Roman"/>
          <w:sz w:val="22"/>
          <w:szCs w:val="22"/>
          <w:lang w:eastAsia="en-GB"/>
        </w:rPr>
        <w:t xml:space="preserve"> emissions</w:t>
      </w:r>
      <w:r w:rsidR="00A7779E">
        <w:rPr>
          <w:rFonts w:ascii="Helvetica" w:eastAsia="Times New Roman" w:hAnsi="Helvetica" w:cs="Times New Roman"/>
          <w:sz w:val="22"/>
          <w:szCs w:val="22"/>
          <w:lang w:eastAsia="en-GB"/>
        </w:rPr>
        <w:t xml:space="preserve"> as the most significant indicator of impact</w:t>
      </w:r>
      <w:r w:rsidR="00A7779E" w:rsidRPr="008B1A84">
        <w:rPr>
          <w:rFonts w:ascii="Helvetica" w:eastAsia="Times New Roman" w:hAnsi="Helvetica" w:cs="Times New Roman"/>
          <w:sz w:val="22"/>
          <w:szCs w:val="22"/>
          <w:lang w:eastAsia="en-GB"/>
        </w:rPr>
        <w:t xml:space="preserve"> </w:t>
      </w:r>
      <w:r w:rsidR="00A7779E" w:rsidRPr="008B1A84">
        <w:rPr>
          <w:rFonts w:ascii="Helvetica" w:eastAsia="Times New Roman" w:hAnsi="Helvetica" w:cs="Times New Roman"/>
          <w:sz w:val="22"/>
          <w:szCs w:val="22"/>
          <w:lang w:eastAsia="en-GB"/>
        </w:rPr>
        <w:fldChar w:fldCharType="begin" w:fldLock="1"/>
      </w:r>
      <w:r w:rsidR="00A7779E">
        <w:rPr>
          <w:rFonts w:ascii="Helvetica" w:eastAsia="Times New Roman" w:hAnsi="Helvetica" w:cs="Times New Roman"/>
          <w:sz w:val="22"/>
          <w:szCs w:val="22"/>
          <w:lang w:eastAsia="en-GB"/>
        </w:rPr>
        <w:instrText>ADDIN CSL_CITATION {"citationItems":[{"id":"ITEM-1","itemData":{"ISBN":"9781856176088","author":[{"dropping-particle":"","family":"Ashby","given":"M.F.","non-dropping-particle":"","parse-names":false,"suffix":""}],"id":"ITEM-1","issued":{"date-parts":[["2009"]]},"note":"NULL","number-of-pages":"129-161","publisher":"Butterworth-Heinemann","publisher-place":"Burlington","title":"Materials and the Environment : Eco-informed Material Choice","type":"book"},"uris":["http://www.mendeley.com/documents/?uuid=072ce471-7ef3-43e7-851d-1fab83dce251"]}],"mendeley":{"formattedCitation":"(Ashby, 2009)","plainTextFormattedCitation":"(Ashby, 2009)","previouslyFormattedCitation":"(Ashby, 2009)"},"properties":{"noteIndex":0},"schema":"https://github.com/citation-style-language/schema/raw/master/csl-citation.json"}</w:instrText>
      </w:r>
      <w:r w:rsidR="00A7779E" w:rsidRPr="008B1A84">
        <w:rPr>
          <w:rFonts w:ascii="Helvetica" w:eastAsia="Times New Roman" w:hAnsi="Helvetica" w:cs="Times New Roman"/>
          <w:sz w:val="22"/>
          <w:szCs w:val="22"/>
          <w:lang w:eastAsia="en-GB"/>
        </w:rPr>
        <w:fldChar w:fldCharType="separate"/>
      </w:r>
      <w:r w:rsidR="00A7779E" w:rsidRPr="00B27DC5">
        <w:rPr>
          <w:rFonts w:ascii="Helvetica" w:eastAsia="Times New Roman" w:hAnsi="Helvetica" w:cs="Times New Roman"/>
          <w:noProof/>
          <w:sz w:val="22"/>
          <w:szCs w:val="22"/>
          <w:lang w:eastAsia="en-GB"/>
        </w:rPr>
        <w:t>(Ashby, 2009)</w:t>
      </w:r>
      <w:r w:rsidR="00A7779E" w:rsidRPr="008B1A84">
        <w:rPr>
          <w:rFonts w:ascii="Helvetica" w:eastAsia="Times New Roman" w:hAnsi="Helvetica" w:cs="Times New Roman"/>
          <w:sz w:val="22"/>
          <w:szCs w:val="22"/>
          <w:lang w:eastAsia="en-GB"/>
        </w:rPr>
        <w:fldChar w:fldCharType="end"/>
      </w:r>
      <w:r w:rsidR="00A7779E">
        <w:rPr>
          <w:rFonts w:ascii="Helvetica" w:eastAsia="Times New Roman" w:hAnsi="Helvetica" w:cs="Times New Roman"/>
          <w:sz w:val="22"/>
          <w:szCs w:val="22"/>
          <w:lang w:eastAsia="en-GB"/>
        </w:rPr>
        <w:t>. This</w:t>
      </w:r>
      <w:r w:rsidR="00CA3D7E">
        <w:rPr>
          <w:rFonts w:ascii="Helvetica" w:eastAsia="Times New Roman" w:hAnsi="Helvetica" w:cs="Times New Roman"/>
          <w:sz w:val="22"/>
          <w:szCs w:val="22"/>
          <w:lang w:eastAsia="en-GB"/>
        </w:rPr>
        <w:t xml:space="preserve"> metric</w:t>
      </w:r>
      <w:r w:rsidR="00A7779E">
        <w:rPr>
          <w:rFonts w:ascii="Helvetica" w:eastAsia="Times New Roman" w:hAnsi="Helvetica" w:cs="Times New Roman"/>
          <w:sz w:val="22"/>
          <w:szCs w:val="22"/>
          <w:lang w:eastAsia="en-GB"/>
        </w:rPr>
        <w:t xml:space="preserve"> is calculated for</w:t>
      </w:r>
      <w:r w:rsidRPr="008B1A84">
        <w:rPr>
          <w:rFonts w:ascii="Helvetica" w:eastAsia="Times New Roman" w:hAnsi="Helvetica" w:cs="Times New Roman"/>
          <w:sz w:val="22"/>
          <w:szCs w:val="22"/>
          <w:lang w:eastAsia="en-GB"/>
        </w:rPr>
        <w:t xml:space="preserve"> </w:t>
      </w:r>
      <w:r w:rsidR="00945B5F">
        <w:rPr>
          <w:rFonts w:ascii="Helvetica" w:eastAsia="Times New Roman" w:hAnsi="Helvetica" w:cs="Times New Roman"/>
          <w:sz w:val="22"/>
          <w:szCs w:val="22"/>
          <w:lang w:eastAsia="en-GB"/>
        </w:rPr>
        <w:t>each</w:t>
      </w:r>
      <w:r w:rsidR="00945B5F" w:rsidRPr="008B1A84">
        <w:rPr>
          <w:rFonts w:ascii="Helvetica" w:eastAsia="Times New Roman" w:hAnsi="Helvetica" w:cs="Times New Roman"/>
          <w:sz w:val="22"/>
          <w:szCs w:val="22"/>
          <w:lang w:eastAsia="en-GB"/>
        </w:rPr>
        <w:t xml:space="preserve"> </w:t>
      </w:r>
      <w:r w:rsidRPr="008B1A84">
        <w:rPr>
          <w:rFonts w:ascii="Helvetica" w:eastAsia="Times New Roman" w:hAnsi="Helvetica" w:cs="Times New Roman"/>
          <w:sz w:val="22"/>
          <w:szCs w:val="22"/>
          <w:lang w:eastAsia="en-GB"/>
        </w:rPr>
        <w:t xml:space="preserve">phase of life of a product: material, manufacture, transport, use and disposal. </w:t>
      </w:r>
      <w:r w:rsidR="00EB2E76">
        <w:rPr>
          <w:rFonts w:ascii="Helvetica" w:eastAsia="Times New Roman" w:hAnsi="Helvetica" w:cs="Times New Roman"/>
          <w:sz w:val="22"/>
          <w:szCs w:val="22"/>
          <w:lang w:eastAsia="en-GB"/>
        </w:rPr>
        <w:t>T</w:t>
      </w:r>
      <w:r w:rsidRPr="008B1A84">
        <w:rPr>
          <w:rFonts w:ascii="Helvetica" w:eastAsia="Times New Roman" w:hAnsi="Helvetica" w:cs="Times New Roman"/>
          <w:sz w:val="22"/>
          <w:szCs w:val="22"/>
          <w:lang w:eastAsia="en-GB"/>
        </w:rPr>
        <w:t>he dominant phase</w:t>
      </w:r>
      <w:r w:rsidR="00EB2E76">
        <w:rPr>
          <w:rFonts w:ascii="Helvetica" w:eastAsia="Times New Roman" w:hAnsi="Helvetica" w:cs="Times New Roman"/>
          <w:sz w:val="22"/>
          <w:szCs w:val="22"/>
          <w:lang w:eastAsia="en-GB"/>
        </w:rPr>
        <w:t xml:space="preserve"> is identified as</w:t>
      </w:r>
      <w:r w:rsidRPr="008B1A84">
        <w:rPr>
          <w:rFonts w:ascii="Helvetica" w:eastAsia="Times New Roman" w:hAnsi="Helvetica" w:cs="Times New Roman"/>
          <w:sz w:val="22"/>
          <w:szCs w:val="22"/>
          <w:lang w:eastAsia="en-GB"/>
        </w:rPr>
        <w:t xml:space="preserve"> that</w:t>
      </w:r>
      <w:r w:rsidR="00EB2E76">
        <w:rPr>
          <w:rFonts w:ascii="Helvetica" w:eastAsia="Times New Roman" w:hAnsi="Helvetica" w:cs="Times New Roman"/>
          <w:sz w:val="22"/>
          <w:szCs w:val="22"/>
          <w:lang w:eastAsia="en-GB"/>
        </w:rPr>
        <w:t xml:space="preserve"> with</w:t>
      </w:r>
      <w:r w:rsidRPr="008B1A84">
        <w:rPr>
          <w:rFonts w:ascii="Helvetica" w:eastAsia="Times New Roman" w:hAnsi="Helvetica" w:cs="Times New Roman"/>
          <w:sz w:val="22"/>
          <w:szCs w:val="22"/>
          <w:lang w:eastAsia="en-GB"/>
        </w:rPr>
        <w:t xml:space="preserve"> the largest energy consumption and the greatest CO</w:t>
      </w:r>
      <w:r w:rsidRPr="004D7BFC">
        <w:rPr>
          <w:rFonts w:ascii="Helvetica" w:eastAsia="Times New Roman" w:hAnsi="Helvetica" w:cs="Times New Roman"/>
          <w:sz w:val="22"/>
          <w:szCs w:val="22"/>
          <w:vertAlign w:val="subscript"/>
          <w:lang w:eastAsia="en-GB"/>
        </w:rPr>
        <w:t>2</w:t>
      </w:r>
      <w:r w:rsidRPr="008B1A84">
        <w:rPr>
          <w:rFonts w:ascii="Helvetica" w:eastAsia="Times New Roman" w:hAnsi="Helvetica" w:cs="Times New Roman"/>
          <w:sz w:val="22"/>
          <w:szCs w:val="22"/>
          <w:lang w:eastAsia="en-GB"/>
        </w:rPr>
        <w:t xml:space="preserve"> burden. </w:t>
      </w:r>
      <w:r w:rsidR="00EB2E76">
        <w:rPr>
          <w:rFonts w:ascii="Helvetica" w:eastAsia="Times New Roman" w:hAnsi="Helvetica" w:cs="Times New Roman"/>
          <w:sz w:val="22"/>
          <w:szCs w:val="22"/>
          <w:lang w:eastAsia="en-GB"/>
        </w:rPr>
        <w:t>T</w:t>
      </w:r>
      <w:r w:rsidRPr="008B1A84">
        <w:rPr>
          <w:rFonts w:ascii="Helvetica" w:eastAsia="Times New Roman" w:hAnsi="Helvetica" w:cs="Times New Roman"/>
          <w:sz w:val="22"/>
          <w:szCs w:val="22"/>
          <w:lang w:eastAsia="en-GB"/>
        </w:rPr>
        <w:t xml:space="preserve">he initial focus </w:t>
      </w:r>
      <w:r w:rsidR="00EB2E76">
        <w:rPr>
          <w:rFonts w:ascii="Helvetica" w:eastAsia="Times New Roman" w:hAnsi="Helvetica" w:cs="Times New Roman"/>
          <w:sz w:val="22"/>
          <w:szCs w:val="22"/>
          <w:lang w:eastAsia="en-GB"/>
        </w:rPr>
        <w:t>is then</w:t>
      </w:r>
      <w:r w:rsidRPr="008B1A84">
        <w:rPr>
          <w:rFonts w:ascii="Helvetica" w:eastAsia="Times New Roman" w:hAnsi="Helvetica" w:cs="Times New Roman"/>
          <w:sz w:val="22"/>
          <w:szCs w:val="22"/>
          <w:lang w:eastAsia="en-GB"/>
        </w:rPr>
        <w:t xml:space="preserve"> on the dominant phase since it has the biggest potential for reduction. </w:t>
      </w:r>
      <w:r w:rsidR="00EB2E76">
        <w:rPr>
          <w:rFonts w:ascii="Helvetica" w:eastAsia="Times New Roman" w:hAnsi="Helvetica" w:cs="Times New Roman"/>
          <w:sz w:val="22"/>
          <w:szCs w:val="22"/>
          <w:lang w:eastAsia="en-GB"/>
        </w:rPr>
        <w:t>An eco-audit</w:t>
      </w:r>
      <w:r w:rsidRPr="008B1A84">
        <w:rPr>
          <w:rFonts w:ascii="Helvetica" w:eastAsia="Times New Roman" w:hAnsi="Helvetica" w:cs="Times New Roman"/>
          <w:sz w:val="22"/>
          <w:szCs w:val="22"/>
          <w:lang w:eastAsia="en-GB"/>
        </w:rPr>
        <w:t xml:space="preserve"> provides a well-documented</w:t>
      </w:r>
      <w:r w:rsidR="00A7779E">
        <w:rPr>
          <w:rFonts w:ascii="Helvetica" w:eastAsia="Times New Roman" w:hAnsi="Helvetica" w:cs="Times New Roman"/>
          <w:sz w:val="22"/>
          <w:szCs w:val="22"/>
          <w:lang w:eastAsia="en-GB"/>
        </w:rPr>
        <w:t xml:space="preserve"> and established</w:t>
      </w:r>
      <w:r w:rsidRPr="008B1A84">
        <w:rPr>
          <w:rFonts w:ascii="Helvetica" w:eastAsia="Times New Roman" w:hAnsi="Helvetica" w:cs="Times New Roman"/>
          <w:sz w:val="22"/>
          <w:szCs w:val="22"/>
          <w:lang w:eastAsia="en-GB"/>
        </w:rPr>
        <w:t xml:space="preserve"> basis for making comparisons of environmental impact arising from different processes and lifecycle paths </w:t>
      </w:r>
      <w:r w:rsidR="00107EB7" w:rsidRPr="008B1A84">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ISBN":"9781856176088","author":[{"dropping-particle":"","family":"Ashby","given":"M.F.","non-dropping-particle":"","parse-names":false,"suffix":""}],"id":"ITEM-1","issued":{"date-parts":[["2009"]]},"note":"NULL","number-of-pages":"129-161","publisher":"Butterworth-Heinemann","publisher-place":"Burlington","title":"Materials and the Environment : Eco-informed Material Choice","type":"book"},"uris":["http://www.mendeley.com/documents/?uuid=072ce471-7ef3-43e7-851d-1fab83dce251"]}],"mendeley":{"formattedCitation":"(Ashby, 2009)","plainTextFormattedCitation":"(Ashby, 2009)","previouslyFormattedCitation":"(Ashby, 2009)"},"properties":{"noteIndex":0},"schema":"https://github.com/citation-style-language/schema/raw/master/csl-citation.json"}</w:instrText>
      </w:r>
      <w:r w:rsidR="00107EB7" w:rsidRPr="008B1A84">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(Ashby, 2009)</w:t>
      </w:r>
      <w:r w:rsidR="00107EB7" w:rsidRPr="008B1A84">
        <w:rPr>
          <w:rFonts w:ascii="Helvetica" w:eastAsia="Times New Roman" w:hAnsi="Helvetica" w:cs="Times New Roman"/>
          <w:sz w:val="22"/>
          <w:szCs w:val="22"/>
          <w:lang w:eastAsia="en-GB"/>
        </w:rPr>
        <w:fldChar w:fldCharType="end"/>
      </w:r>
      <w:r w:rsidRPr="008B1A84">
        <w:rPr>
          <w:rFonts w:ascii="Helvetica" w:eastAsia="Times New Roman" w:hAnsi="Helvetica" w:cs="Times New Roman"/>
          <w:sz w:val="22"/>
          <w:szCs w:val="22"/>
          <w:lang w:eastAsia="en-GB"/>
        </w:rPr>
        <w:t>.</w:t>
      </w:r>
      <w:r w:rsidR="004D7BFC">
        <w:rPr>
          <w:rFonts w:ascii="Helvetica" w:eastAsia="Times New Roman" w:hAnsi="Helvetica" w:cs="Times New Roman"/>
          <w:sz w:val="22"/>
          <w:szCs w:val="22"/>
          <w:lang w:eastAsia="en-GB"/>
        </w:rPr>
        <w:t xml:space="preserve"> We have chosen to use energy consumption as the sole measure of environmental impact, in line with eco-audit methodology </w:t>
      </w:r>
      <w:r w:rsidR="00107EB7">
        <w:rPr>
          <w:rFonts w:ascii="Helvetica" w:eastAsia="Times New Roman" w:hAnsi="Helvetica" w:cs="Times New Roman"/>
          <w:sz w:val="22"/>
          <w:szCs w:val="22"/>
        </w:rPr>
        <w:fldChar w:fldCharType="begin" w:fldLock="1"/>
      </w:r>
      <w:r w:rsidR="00A17B85">
        <w:rPr>
          <w:rFonts w:ascii="Helvetica" w:eastAsia="Times New Roman" w:hAnsi="Helvetica" w:cs="Times New Roman"/>
          <w:sz w:val="22"/>
          <w:szCs w:val="22"/>
        </w:rPr>
        <w:instrText>ADDIN CSL_CITATION {"citationItems":[{"id":"ITEM-1","itemData":{"ISBN":"Version 1.3","abstract":"The CES EduPack Eco Audit Tool enables the first part of a 2-part strategy for selecting materials for eco-aware product design. The second part of the strategy is implemented in the CES Selector, described elsewhere (1, 2, 3). This white paper gives the background, describes the 2-part strategy and explains the operation of the Eco Audit Tool, which draws on the same database of material and process properties as CES Selector, ensuring consistency. The use of the tool is illustrated with case studies.","author":[{"dropping-particle":"","family":"Ashby","given":"Mike","non-dropping-particle":"","parse-names":false,"suffix":""},{"dropping-particle":"","family":"Coulter","given":"Patrick","non-dropping-particle":"","parse-names":false,"suffix":""},{"dropping-particle":"","family":"Ball","given":"Nick","non-dropping-particle":"","parse-names":false,"suffix":""},{"dropping-particle":"","family":"Bream","given":"Charlie","non-dropping-particle":"","parse-names":false,"suffix":""}],"id":"ITEM-1","issue":"2","issued":{"date-parts":[["2009"]]},"number-of-pages":"18","title":"The CES EduPack Eco Audit Tool - A White Paper","type":"report"},"uris":["http://www.mendeley.com/documents/?uuid=e54485e6-14d2-4ce9-b109-ad615a63aa2d"]}],"mendeley":{"formattedCitation":"(Ashby et al., 2009)","plainTextFormattedCitation":"(Ashby et al., 2009)","previouslyFormattedCitation":"(Ashby et al., 2009)"},"properties":{"noteIndex":0},"schema":"https://github.com/citation-style-language/schema/raw/master/csl-citation.json"}</w:instrText>
      </w:r>
      <w:r w:rsidR="00107EB7">
        <w:rPr>
          <w:rFonts w:ascii="Helvetica" w:eastAsia="Times New Roman" w:hAnsi="Helvetica" w:cs="Times New Roman"/>
          <w:sz w:val="22"/>
          <w:szCs w:val="22"/>
        </w:rPr>
        <w:fldChar w:fldCharType="separate"/>
      </w:r>
      <w:r w:rsidR="00B27DC5" w:rsidRPr="00B27DC5">
        <w:rPr>
          <w:rFonts w:ascii="Helvetica" w:eastAsia="Times New Roman" w:hAnsi="Helvetica" w:cs="Times New Roman"/>
          <w:noProof/>
          <w:sz w:val="22"/>
          <w:szCs w:val="22"/>
        </w:rPr>
        <w:t>(Ashby et al., 2009)</w:t>
      </w:r>
      <w:r w:rsidR="00107EB7">
        <w:rPr>
          <w:rFonts w:ascii="Helvetica" w:eastAsia="Times New Roman" w:hAnsi="Helvetica" w:cs="Times New Roman"/>
          <w:sz w:val="22"/>
          <w:szCs w:val="22"/>
        </w:rPr>
        <w:fldChar w:fldCharType="end"/>
      </w:r>
      <w:r w:rsidR="004D7BFC">
        <w:rPr>
          <w:rFonts w:ascii="Helvetica" w:eastAsia="Times New Roman" w:hAnsi="Helvetica" w:cs="Times New Roman"/>
          <w:sz w:val="22"/>
          <w:szCs w:val="22"/>
          <w:lang w:eastAsia="en-GB"/>
        </w:rPr>
        <w:t>.</w:t>
      </w:r>
    </w:p>
    <w:p w14:paraId="70CFD39C" w14:textId="77777777" w:rsidR="00B44120" w:rsidRPr="008B1A84" w:rsidRDefault="00624659" w:rsidP="008B1A84">
      <w:pPr>
        <w:pStyle w:val="Heading2"/>
      </w:pPr>
      <w:r>
        <w:t>C</w:t>
      </w:r>
      <w:r w:rsidR="00545B70">
        <w:t>alculation logic</w:t>
      </w:r>
      <w:bookmarkEnd w:id="1"/>
      <w:r>
        <w:t xml:space="preserve"> and h</w:t>
      </w:r>
      <w:r w:rsidRPr="002A6DBD">
        <w:t>ypothesis</w:t>
      </w:r>
    </w:p>
    <w:p w14:paraId="6FF60A7E" w14:textId="56709163" w:rsidR="00B44120" w:rsidRPr="004D7BFC" w:rsidRDefault="004D7BFC"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Here we provide definitions before outlining</w:t>
      </w:r>
      <w:r w:rsidR="00745032">
        <w:rPr>
          <w:rFonts w:ascii="Helvetica" w:eastAsia="Times New Roman" w:hAnsi="Helvetica" w:cs="Times New Roman"/>
          <w:sz w:val="22"/>
          <w:szCs w:val="22"/>
          <w:lang w:eastAsia="en-GB"/>
        </w:rPr>
        <w:t xml:space="preserve"> in the next section </w:t>
      </w:r>
      <w:r w:rsidRPr="00B44120">
        <w:rPr>
          <w:rFonts w:ascii="Helvetica" w:eastAsia="Times New Roman" w:hAnsi="Helvetica" w:cs="Times New Roman"/>
          <w:sz w:val="22"/>
          <w:szCs w:val="22"/>
          <w:lang w:eastAsia="en-GB"/>
        </w:rPr>
        <w:t>the steps taken and the underlying hypothesis</w:t>
      </w:r>
      <w:r w:rsidR="00745032">
        <w:rPr>
          <w:rFonts w:ascii="Helvetica" w:eastAsia="Times New Roman" w:hAnsi="Helvetica" w:cs="Times New Roman"/>
          <w:sz w:val="22"/>
          <w:szCs w:val="22"/>
          <w:lang w:eastAsia="en-GB"/>
        </w:rPr>
        <w:t>.</w:t>
      </w:r>
      <w:r>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sz w:val="22"/>
          <w:szCs w:val="22"/>
          <w:lang w:eastAsia="en-GB"/>
        </w:rPr>
        <w:t xml:space="preserve">The </w:t>
      </w:r>
      <w:r w:rsidR="00B44120" w:rsidRPr="00B44120">
        <w:rPr>
          <w:rFonts w:ascii="Helvetica" w:eastAsia="Times New Roman" w:hAnsi="Helvetica" w:cs="Times New Roman"/>
          <w:i/>
          <w:sz w:val="22"/>
          <w:szCs w:val="22"/>
          <w:lang w:eastAsia="en-GB"/>
        </w:rPr>
        <w:t>lifetime impacts</w:t>
      </w:r>
      <w:r w:rsidR="00B44120" w:rsidRPr="00B44120">
        <w:rPr>
          <w:rFonts w:ascii="Helvetica" w:eastAsia="Times New Roman" w:hAnsi="Helvetica" w:cs="Times New Roman"/>
          <w:sz w:val="22"/>
          <w:szCs w:val="22"/>
          <w:lang w:eastAsia="en-GB"/>
        </w:rPr>
        <w:t xml:space="preserve"> are the sum of </w:t>
      </w:r>
      <w:r w:rsidR="00745032">
        <w:rPr>
          <w:rFonts w:ascii="Helvetica" w:eastAsia="Times New Roman" w:hAnsi="Helvetica" w:cs="Times New Roman"/>
          <w:sz w:val="22"/>
          <w:szCs w:val="22"/>
          <w:lang w:eastAsia="en-GB"/>
        </w:rPr>
        <w:t xml:space="preserve">the </w:t>
      </w:r>
      <w:r w:rsidR="00B44120" w:rsidRPr="00B44120">
        <w:rPr>
          <w:rFonts w:ascii="Helvetica" w:eastAsia="Times New Roman" w:hAnsi="Helvetica" w:cs="Times New Roman"/>
          <w:sz w:val="22"/>
          <w:szCs w:val="22"/>
          <w:lang w:eastAsia="en-GB"/>
        </w:rPr>
        <w:t>blade lifetime environmental impacts from the manufacture, transportation and</w:t>
      </w:r>
      <w:r w:rsidR="00224EF4">
        <w:rPr>
          <w:rFonts w:ascii="Helvetica" w:eastAsia="Times New Roman" w:hAnsi="Helvetica" w:cs="Times New Roman"/>
          <w:sz w:val="22"/>
          <w:szCs w:val="22"/>
          <w:lang w:eastAsia="en-GB"/>
        </w:rPr>
        <w:t>,</w:t>
      </w:r>
      <w:r w:rsidR="00B44120" w:rsidRPr="00B44120">
        <w:rPr>
          <w:rFonts w:ascii="Helvetica" w:eastAsia="Times New Roman" w:hAnsi="Helvetica" w:cs="Times New Roman"/>
          <w:sz w:val="22"/>
          <w:szCs w:val="22"/>
          <w:lang w:eastAsia="en-GB"/>
        </w:rPr>
        <w:t xml:space="preserve"> </w:t>
      </w:r>
      <w:r w:rsidR="003D1F27">
        <w:rPr>
          <w:rFonts w:ascii="Helvetica" w:eastAsia="Times New Roman" w:hAnsi="Helvetica" w:cs="Times New Roman"/>
          <w:sz w:val="22"/>
          <w:szCs w:val="22"/>
          <w:lang w:eastAsia="en-GB"/>
        </w:rPr>
        <w:t>operation and maintenance (</w:t>
      </w:r>
      <w:r w:rsidR="00B44120" w:rsidRPr="00B44120">
        <w:rPr>
          <w:rFonts w:ascii="Helvetica" w:eastAsia="Times New Roman" w:hAnsi="Helvetica" w:cs="Times New Roman"/>
          <w:sz w:val="22"/>
          <w:szCs w:val="22"/>
          <w:lang w:eastAsia="en-GB"/>
        </w:rPr>
        <w:t>O&amp;M</w:t>
      </w:r>
      <w:r w:rsidR="003D1F27">
        <w:rPr>
          <w:rFonts w:ascii="Helvetica" w:eastAsia="Times New Roman" w:hAnsi="Helvetica" w:cs="Times New Roman"/>
          <w:sz w:val="22"/>
          <w:szCs w:val="22"/>
          <w:lang w:eastAsia="en-GB"/>
        </w:rPr>
        <w:t>)</w:t>
      </w:r>
      <w:r w:rsidR="00B44120" w:rsidRPr="00B44120">
        <w:rPr>
          <w:rFonts w:ascii="Helvetica" w:eastAsia="Times New Roman" w:hAnsi="Helvetica" w:cs="Times New Roman"/>
          <w:sz w:val="22"/>
          <w:szCs w:val="22"/>
          <w:lang w:eastAsia="en-GB"/>
        </w:rPr>
        <w:t xml:space="preserve"> stages</w:t>
      </w:r>
      <w:r w:rsidR="00650244">
        <w:rPr>
          <w:rFonts w:ascii="Helvetica" w:eastAsia="Times New Roman" w:hAnsi="Helvetica" w:cs="Times New Roman"/>
          <w:sz w:val="22"/>
          <w:szCs w:val="22"/>
          <w:lang w:eastAsia="en-GB"/>
        </w:rPr>
        <w:t xml:space="preserve">. The </w:t>
      </w:r>
      <w:r w:rsidR="00470AA8" w:rsidRPr="00E30C8D">
        <w:rPr>
          <w:rFonts w:ascii="Helvetica" w:eastAsia="Times New Roman" w:hAnsi="Helvetica" w:cs="Times New Roman"/>
          <w:i/>
          <w:sz w:val="22"/>
          <w:szCs w:val="22"/>
          <w:lang w:eastAsia="en-GB"/>
        </w:rPr>
        <w:t>total lifetime impact</w:t>
      </w:r>
      <w:r w:rsidR="00650244">
        <w:rPr>
          <w:rFonts w:ascii="Helvetica" w:eastAsia="Times New Roman" w:hAnsi="Helvetica" w:cs="Times New Roman"/>
          <w:sz w:val="22"/>
          <w:szCs w:val="22"/>
          <w:lang w:eastAsia="en-GB"/>
        </w:rPr>
        <w:t xml:space="preserve"> also includes</w:t>
      </w:r>
      <w:r w:rsidR="00B44120" w:rsidRPr="00B44120">
        <w:rPr>
          <w:rFonts w:ascii="Helvetica" w:eastAsia="Times New Roman" w:hAnsi="Helvetica" w:cs="Times New Roman"/>
          <w:sz w:val="22"/>
          <w:szCs w:val="22"/>
          <w:lang w:eastAsia="en-GB"/>
        </w:rPr>
        <w:t xml:space="preserve"> the </w:t>
      </w:r>
      <w:proofErr w:type="spellStart"/>
      <w:r w:rsidR="00E4212C" w:rsidRPr="00E4212C">
        <w:rPr>
          <w:rFonts w:ascii="Helvetica" w:hAnsi="Helvetica" w:cs="Times New Roman"/>
          <w:i/>
          <w:sz w:val="22"/>
          <w:szCs w:val="22"/>
        </w:rPr>
        <w:t>EoL</w:t>
      </w:r>
      <w:proofErr w:type="spellEnd"/>
      <w:r w:rsidR="00E4212C" w:rsidRPr="00F44E01">
        <w:rPr>
          <w:rFonts w:ascii="Helvetica" w:hAnsi="Helvetica" w:cs="Times New Roman"/>
          <w:i/>
          <w:sz w:val="22"/>
          <w:szCs w:val="22"/>
        </w:rPr>
        <w:t xml:space="preserve"> impact</w:t>
      </w:r>
      <w:r w:rsidR="00B44120" w:rsidRPr="00B44120">
        <w:rPr>
          <w:rFonts w:ascii="Helvetica" w:eastAsia="Times New Roman" w:hAnsi="Helvetica" w:cs="Times New Roman"/>
          <w:sz w:val="22"/>
          <w:szCs w:val="22"/>
          <w:lang w:eastAsia="en-GB"/>
        </w:rPr>
        <w:t xml:space="preserve">. The </w:t>
      </w:r>
      <w:r w:rsidR="00B44120" w:rsidRPr="00B44120">
        <w:rPr>
          <w:rFonts w:ascii="Helvetica" w:eastAsia="Times New Roman" w:hAnsi="Helvetica" w:cs="Times New Roman"/>
          <w:i/>
          <w:sz w:val="22"/>
          <w:szCs w:val="22"/>
          <w:lang w:eastAsia="en-GB"/>
        </w:rPr>
        <w:t>recycling benefit</w:t>
      </w:r>
      <w:r w:rsidR="00B44120" w:rsidRPr="00B44120">
        <w:rPr>
          <w:rFonts w:ascii="Helvetica" w:eastAsia="Times New Roman" w:hAnsi="Helvetica" w:cs="Times New Roman"/>
          <w:sz w:val="22"/>
          <w:szCs w:val="22"/>
          <w:lang w:eastAsia="en-GB"/>
        </w:rPr>
        <w:t xml:space="preserve"> of</w:t>
      </w:r>
      <w:r w:rsidR="00B44120" w:rsidRPr="00B44120">
        <w:rPr>
          <w:rFonts w:ascii="Helvetica" w:eastAsia="Times New Roman" w:hAnsi="Helvetica" w:cs="Times New Roman" w:hint="eastAsia"/>
          <w:sz w:val="22"/>
          <w:szCs w:val="22"/>
          <w:lang w:eastAsia="en-GB"/>
        </w:rPr>
        <w:t xml:space="preserve"> </w:t>
      </w:r>
      <w:r w:rsidR="00B44120" w:rsidRPr="00B44120">
        <w:rPr>
          <w:rFonts w:ascii="Helvetica" w:eastAsia="Times New Roman" w:hAnsi="Helvetica" w:cs="Times New Roman"/>
          <w:sz w:val="22"/>
          <w:szCs w:val="22"/>
          <w:lang w:eastAsia="en-GB"/>
        </w:rPr>
        <w:t xml:space="preserve">an </w:t>
      </w:r>
      <w:proofErr w:type="spellStart"/>
      <w:r w:rsidR="00B44120" w:rsidRPr="00B44120">
        <w:rPr>
          <w:rFonts w:ascii="Helvetica" w:eastAsia="Times New Roman" w:hAnsi="Helvetica" w:cs="Times New Roman" w:hint="eastAsia"/>
          <w:sz w:val="22"/>
          <w:szCs w:val="22"/>
          <w:lang w:eastAsia="en-GB"/>
        </w:rPr>
        <w:t>EoL</w:t>
      </w:r>
      <w:proofErr w:type="spellEnd"/>
      <w:r w:rsidR="00B44120" w:rsidRPr="00B44120">
        <w:rPr>
          <w:rFonts w:ascii="Helvetica" w:eastAsia="Times New Roman" w:hAnsi="Helvetica" w:cs="Times New Roman" w:hint="eastAsia"/>
          <w:sz w:val="22"/>
          <w:szCs w:val="22"/>
          <w:lang w:eastAsia="en-GB"/>
        </w:rPr>
        <w:t xml:space="preserve"> option</w:t>
      </w:r>
      <w:r w:rsidR="00B44120" w:rsidRPr="00B44120">
        <w:rPr>
          <w:rFonts w:ascii="Helvetica" w:eastAsia="Times New Roman" w:hAnsi="Helvetica" w:cs="Times New Roman"/>
          <w:sz w:val="22"/>
          <w:szCs w:val="22"/>
          <w:lang w:eastAsia="en-GB"/>
        </w:rPr>
        <w:t xml:space="preserve"> is defined as the equivalent environmental impact of manufacturing the recyclate or the energy recovered through </w:t>
      </w:r>
      <w:proofErr w:type="spellStart"/>
      <w:r w:rsidR="00B44120" w:rsidRPr="00B44120">
        <w:rPr>
          <w:rFonts w:ascii="Helvetica" w:eastAsia="Times New Roman" w:hAnsi="Helvetica" w:cs="Times New Roman"/>
          <w:sz w:val="22"/>
          <w:szCs w:val="22"/>
          <w:lang w:eastAsia="en-GB"/>
        </w:rPr>
        <w:t>EoL</w:t>
      </w:r>
      <w:proofErr w:type="spellEnd"/>
      <w:r w:rsidR="00B44120" w:rsidRPr="00B44120">
        <w:rPr>
          <w:rFonts w:ascii="Helvetica" w:eastAsia="Times New Roman" w:hAnsi="Helvetica" w:cs="Times New Roman"/>
          <w:sz w:val="22"/>
          <w:szCs w:val="22"/>
          <w:lang w:eastAsia="en-GB"/>
        </w:rPr>
        <w:t xml:space="preserve"> processes</w:t>
      </w:r>
      <w:r w:rsidR="005D6D08">
        <w:rPr>
          <w:rFonts w:ascii="Helvetica" w:eastAsia="Times New Roman" w:hAnsi="Helvetica" w:cs="Times New Roman"/>
          <w:sz w:val="22"/>
          <w:szCs w:val="22"/>
          <w:lang w:eastAsia="en-GB"/>
        </w:rPr>
        <w:t xml:space="preserve">: a negative environmental impact is desirable </w:t>
      </w:r>
      <w:r w:rsidR="005D096F">
        <w:rPr>
          <w:rFonts w:ascii="Helvetica" w:eastAsia="Times New Roman" w:hAnsi="Helvetica" w:cs="Times New Roman"/>
          <w:sz w:val="22"/>
          <w:szCs w:val="22"/>
          <w:lang w:eastAsia="en-GB"/>
        </w:rPr>
        <w:t xml:space="preserve">as it </w:t>
      </w:r>
      <w:r w:rsidR="005D6D08">
        <w:rPr>
          <w:rFonts w:ascii="Helvetica" w:eastAsia="Times New Roman" w:hAnsi="Helvetica" w:cs="Times New Roman"/>
          <w:sz w:val="22"/>
          <w:szCs w:val="22"/>
          <w:lang w:eastAsia="en-GB"/>
        </w:rPr>
        <w:t>means energy is regained by the process</w:t>
      </w:r>
      <w:r w:rsidR="00B44120" w:rsidRPr="00B44120">
        <w:rPr>
          <w:rFonts w:ascii="Helvetica" w:eastAsia="Times New Roman" w:hAnsi="Helvetica" w:cs="Times New Roman"/>
          <w:sz w:val="22"/>
          <w:szCs w:val="22"/>
          <w:lang w:eastAsia="en-GB"/>
        </w:rPr>
        <w:t xml:space="preserve">. The </w:t>
      </w:r>
      <w:r w:rsidR="00B44120" w:rsidRPr="00B44120">
        <w:rPr>
          <w:rFonts w:ascii="Helvetica" w:eastAsia="Times New Roman" w:hAnsi="Helvetica" w:cs="Times New Roman"/>
          <w:i/>
          <w:sz w:val="22"/>
          <w:szCs w:val="22"/>
          <w:lang w:eastAsia="en-GB"/>
        </w:rPr>
        <w:t>net impact</w:t>
      </w:r>
      <w:r w:rsidR="00B44120" w:rsidRPr="00B44120">
        <w:rPr>
          <w:rFonts w:ascii="Helvetica" w:eastAsia="Times New Roman" w:hAnsi="Helvetica" w:cs="Times New Roman"/>
          <w:sz w:val="22"/>
          <w:szCs w:val="22"/>
          <w:lang w:eastAsia="en-GB"/>
        </w:rPr>
        <w:t xml:space="preserve"> is calculated by </w:t>
      </w:r>
      <w:r w:rsidR="005D6D08" w:rsidRPr="00E30C8D">
        <w:rPr>
          <w:rFonts w:ascii="Helvetica" w:eastAsia="Times New Roman" w:hAnsi="Helvetica" w:cs="Times New Roman"/>
          <w:sz w:val="22"/>
          <w:szCs w:val="22"/>
          <w:lang w:eastAsia="en-GB"/>
        </w:rPr>
        <w:t>adding</w:t>
      </w:r>
      <w:r w:rsidR="005D6D08" w:rsidRPr="00B44120">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sz w:val="22"/>
          <w:szCs w:val="22"/>
          <w:lang w:eastAsia="en-GB"/>
        </w:rPr>
        <w:t xml:space="preserve">the </w:t>
      </w:r>
      <w:r w:rsidR="00B44120" w:rsidRPr="00B44120">
        <w:rPr>
          <w:rFonts w:ascii="Helvetica" w:eastAsia="Times New Roman" w:hAnsi="Helvetica" w:cs="Times New Roman"/>
          <w:i/>
          <w:sz w:val="22"/>
          <w:szCs w:val="22"/>
          <w:lang w:eastAsia="en-GB"/>
        </w:rPr>
        <w:t>recycling benefit</w:t>
      </w:r>
      <w:r w:rsidR="00B44120" w:rsidRPr="00B44120">
        <w:rPr>
          <w:rFonts w:ascii="Helvetica" w:eastAsia="Times New Roman" w:hAnsi="Helvetica" w:cs="Times New Roman"/>
          <w:sz w:val="22"/>
          <w:szCs w:val="22"/>
          <w:lang w:eastAsia="en-GB"/>
        </w:rPr>
        <w:t xml:space="preserve"> of the </w:t>
      </w:r>
      <w:proofErr w:type="spellStart"/>
      <w:r w:rsidR="00B44120" w:rsidRPr="00B44120">
        <w:rPr>
          <w:rFonts w:ascii="Helvetica" w:eastAsia="Times New Roman" w:hAnsi="Helvetica" w:cs="Times New Roman"/>
          <w:sz w:val="22"/>
          <w:szCs w:val="22"/>
          <w:lang w:eastAsia="en-GB"/>
        </w:rPr>
        <w:t>EoL</w:t>
      </w:r>
      <w:proofErr w:type="spellEnd"/>
      <w:r w:rsidR="00B44120" w:rsidRPr="00B44120">
        <w:rPr>
          <w:rFonts w:ascii="Helvetica" w:eastAsia="Times New Roman" w:hAnsi="Helvetica" w:cs="Times New Roman"/>
          <w:sz w:val="22"/>
          <w:szCs w:val="22"/>
          <w:lang w:eastAsia="en-GB"/>
        </w:rPr>
        <w:t xml:space="preserve"> option </w:t>
      </w:r>
      <w:r w:rsidR="00056BD5">
        <w:rPr>
          <w:rFonts w:ascii="Helvetica" w:eastAsia="Times New Roman" w:hAnsi="Helvetica" w:cs="Times New Roman"/>
          <w:sz w:val="22"/>
          <w:szCs w:val="22"/>
          <w:lang w:eastAsia="en-GB"/>
        </w:rPr>
        <w:t>to</w:t>
      </w:r>
      <w:r w:rsidR="00056BD5" w:rsidRPr="00B44120">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sz w:val="22"/>
          <w:szCs w:val="22"/>
          <w:lang w:eastAsia="en-GB"/>
        </w:rPr>
        <w:t>the</w:t>
      </w:r>
      <w:r w:rsidR="00CB4B75">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i/>
          <w:sz w:val="22"/>
          <w:szCs w:val="22"/>
          <w:lang w:eastAsia="en-GB"/>
        </w:rPr>
        <w:t>lifetime impact</w:t>
      </w:r>
      <w:r w:rsidR="00B44120" w:rsidRPr="00B44120">
        <w:rPr>
          <w:rFonts w:ascii="Helvetica" w:eastAsia="Times New Roman" w:hAnsi="Helvetica" w:cs="Times New Roman"/>
          <w:sz w:val="22"/>
          <w:szCs w:val="22"/>
          <w:lang w:eastAsia="en-GB"/>
        </w:rPr>
        <w:t xml:space="preserve">. Details will be given in Sections </w:t>
      </w:r>
      <w:r w:rsidR="005B3EA5">
        <w:rPr>
          <w:rFonts w:ascii="Helvetica" w:eastAsia="Times New Roman" w:hAnsi="Helvetica" w:cs="Times New Roman"/>
          <w:sz w:val="22"/>
          <w:szCs w:val="22"/>
        </w:rPr>
        <w:t>2</w:t>
      </w:r>
      <w:r w:rsidR="00BB322E">
        <w:rPr>
          <w:rFonts w:ascii="Helvetica" w:eastAsia="Times New Roman" w:hAnsi="Helvetica" w:cs="Times New Roman" w:hint="eastAsia"/>
          <w:sz w:val="22"/>
          <w:szCs w:val="22"/>
        </w:rPr>
        <w:t>.3</w:t>
      </w:r>
      <w:r w:rsidR="005B3EA5">
        <w:rPr>
          <w:rFonts w:ascii="Helvetica" w:eastAsia="Times New Roman" w:hAnsi="Helvetica" w:cs="Times New Roman"/>
          <w:sz w:val="22"/>
          <w:szCs w:val="22"/>
        </w:rPr>
        <w:t xml:space="preserve"> and 2</w:t>
      </w:r>
      <w:r w:rsidR="00BB322E">
        <w:rPr>
          <w:rFonts w:ascii="Helvetica" w:eastAsia="Times New Roman" w:hAnsi="Helvetica" w:cs="Times New Roman"/>
          <w:sz w:val="22"/>
          <w:szCs w:val="22"/>
        </w:rPr>
        <w:t>.4.</w:t>
      </w:r>
    </w:p>
    <w:p w14:paraId="359755BD" w14:textId="6805AC89" w:rsidR="00B44120" w:rsidRPr="00B44120" w:rsidRDefault="00CB4B75" w:rsidP="00FF14B7">
      <w:pPr>
        <w:tabs>
          <w:tab w:val="left" w:pos="851"/>
        </w:tabs>
        <w:spacing w:before="120"/>
        <w:rPr>
          <w:rFonts w:ascii="Helvetica" w:eastAsia="Times New Roman" w:hAnsi="Helvetica" w:cs="Times New Roman"/>
          <w:sz w:val="22"/>
          <w:szCs w:val="22"/>
          <w:lang w:eastAsia="en-GB"/>
        </w:rPr>
      </w:pPr>
      <m:oMathPara>
        <m:oMath>
          <m:r>
            <m:rPr>
              <m:sty m:val="p"/>
            </m:rPr>
            <w:rPr>
              <w:rFonts w:ascii="Cambria Math" w:eastAsia="Times New Roman" w:hAnsi="Cambria Math" w:cs="Times New Roman"/>
              <w:sz w:val="22"/>
              <w:szCs w:val="22"/>
              <w:lang w:eastAsia="en-GB"/>
            </w:rPr>
            <w:lastRenderedPageBreak/>
            <m:t>Net impact= Lifetime impact+EoL impact</m:t>
          </m:r>
          <m:r>
            <m:rPr>
              <m:sty m:val="p"/>
            </m:rPr>
            <w:rPr>
              <w:rFonts w:ascii="Cambria Math" w:eastAsia="Times New Roman" w:hAnsi="Cambria Math" w:cs="Times New Roman" w:hint="eastAsia"/>
              <w:sz w:val="22"/>
              <w:szCs w:val="22"/>
            </w:rPr>
            <m:t>+</m:t>
          </m:r>
          <m:r>
            <m:rPr>
              <m:sty m:val="p"/>
            </m:rPr>
            <w:rPr>
              <w:rFonts w:ascii="Cambria Math" w:eastAsia="Times New Roman" w:hAnsi="Cambria Math" w:cs="Times New Roman"/>
              <w:sz w:val="22"/>
              <w:szCs w:val="22"/>
              <w:lang w:eastAsia="en-GB"/>
            </w:rPr>
            <m:t xml:space="preserve">Recycling benefit </m:t>
          </m:r>
        </m:oMath>
      </m:oMathPara>
    </w:p>
    <w:p w14:paraId="09C10DBA" w14:textId="1885121E" w:rsidR="00B44120" w:rsidRDefault="00745032" w:rsidP="00B44120">
      <w:pPr>
        <w:tabs>
          <w:tab w:val="left" w:pos="851"/>
        </w:tabs>
        <w:spacing w:before="120" w:line="360" w:lineRule="auto"/>
        <w:rPr>
          <w:rFonts w:ascii="Helvetica" w:eastAsia="Times New Roman" w:hAnsi="Helvetica" w:cs="Times New Roman"/>
          <w:sz w:val="22"/>
          <w:szCs w:val="22"/>
          <w:lang w:eastAsia="en-GB"/>
        </w:rPr>
      </w:pPr>
      <w:r>
        <w:rPr>
          <w:rFonts w:ascii="Helvetica" w:eastAsia="Times New Roman" w:hAnsi="Helvetica" w:cs="Times New Roman"/>
          <w:sz w:val="22"/>
          <w:szCs w:val="22"/>
          <w:lang w:eastAsia="en-GB"/>
        </w:rPr>
        <w:t>I</w:t>
      </w:r>
      <w:r w:rsidRPr="00B44120">
        <w:rPr>
          <w:rFonts w:ascii="Helvetica" w:eastAsia="Times New Roman" w:hAnsi="Helvetica" w:cs="Times New Roman"/>
          <w:sz w:val="22"/>
          <w:szCs w:val="22"/>
          <w:lang w:eastAsia="en-GB"/>
        </w:rPr>
        <w:t xml:space="preserve">n order to </w:t>
      </w:r>
      <w:r>
        <w:rPr>
          <w:rFonts w:ascii="Helvetica" w:eastAsia="Times New Roman" w:hAnsi="Helvetica" w:cs="Times New Roman"/>
          <w:sz w:val="22"/>
          <w:szCs w:val="22"/>
          <w:lang w:eastAsia="en-GB"/>
        </w:rPr>
        <w:t>assess</w:t>
      </w:r>
      <w:r w:rsidRPr="00B44120">
        <w:rPr>
          <w:rFonts w:ascii="Helvetica" w:eastAsia="Times New Roman" w:hAnsi="Helvetica" w:cs="Times New Roman"/>
          <w:sz w:val="22"/>
          <w:szCs w:val="22"/>
          <w:lang w:eastAsia="en-GB"/>
        </w:rPr>
        <w:t xml:space="preserve"> the effect of blade material composition</w:t>
      </w:r>
      <w:r>
        <w:rPr>
          <w:rFonts w:ascii="Helvetica" w:eastAsia="Times New Roman" w:hAnsi="Helvetica" w:cs="Times New Roman"/>
          <w:sz w:val="22"/>
          <w:szCs w:val="22"/>
          <w:lang w:eastAsia="en-GB"/>
        </w:rPr>
        <w:t xml:space="preserve"> w</w:t>
      </w:r>
      <w:r w:rsidR="00B44120" w:rsidRPr="00B44120">
        <w:rPr>
          <w:rFonts w:ascii="Helvetica" w:eastAsia="Times New Roman" w:hAnsi="Helvetica" w:cs="Times New Roman"/>
          <w:sz w:val="22"/>
          <w:szCs w:val="22"/>
          <w:lang w:eastAsia="en-GB"/>
        </w:rPr>
        <w:t xml:space="preserve">e </w:t>
      </w:r>
      <w:r w:rsidR="00136A37">
        <w:rPr>
          <w:rFonts w:ascii="Helvetica" w:eastAsia="Times New Roman" w:hAnsi="Helvetica" w:cs="Times New Roman"/>
          <w:sz w:val="22"/>
          <w:szCs w:val="22"/>
          <w:lang w:eastAsia="en-GB"/>
        </w:rPr>
        <w:t xml:space="preserve">first </w:t>
      </w:r>
      <w:r w:rsidR="00B44120" w:rsidRPr="00B44120">
        <w:rPr>
          <w:rFonts w:ascii="Helvetica" w:eastAsia="Times New Roman" w:hAnsi="Helvetica" w:cs="Times New Roman"/>
          <w:sz w:val="22"/>
          <w:szCs w:val="22"/>
          <w:lang w:eastAsia="en-GB"/>
        </w:rPr>
        <w:t xml:space="preserve">select three </w:t>
      </w:r>
      <w:r w:rsidR="002625BD" w:rsidRPr="00B44120">
        <w:rPr>
          <w:rFonts w:ascii="Helvetica" w:eastAsia="Times New Roman" w:hAnsi="Helvetica" w:cs="Times New Roman"/>
          <w:sz w:val="22"/>
          <w:szCs w:val="22"/>
          <w:lang w:eastAsia="en-GB"/>
        </w:rPr>
        <w:t>similar</w:t>
      </w:r>
      <w:r w:rsidR="002625BD">
        <w:rPr>
          <w:rFonts w:ascii="Helvetica" w:eastAsia="Times New Roman" w:hAnsi="Helvetica" w:cs="Times New Roman"/>
          <w:sz w:val="22"/>
          <w:szCs w:val="22"/>
          <w:lang w:eastAsia="en-GB"/>
        </w:rPr>
        <w:t>-</w:t>
      </w:r>
      <w:r w:rsidR="00B44120" w:rsidRPr="00B44120">
        <w:rPr>
          <w:rFonts w:ascii="Helvetica" w:eastAsia="Times New Roman" w:hAnsi="Helvetica" w:cs="Times New Roman"/>
          <w:sz w:val="22"/>
          <w:szCs w:val="22"/>
          <w:lang w:eastAsia="en-GB"/>
        </w:rPr>
        <w:t>sized blade models, made with full GF, a hybrid of GF and CF, and full CF</w:t>
      </w:r>
      <w:r w:rsidR="00B44120" w:rsidRPr="00B44120">
        <w:rPr>
          <w:rFonts w:ascii="Helvetica" w:eastAsia="Times New Roman" w:hAnsi="Helvetica" w:cs="Times New Roman" w:hint="eastAsia"/>
          <w:sz w:val="22"/>
          <w:szCs w:val="22"/>
          <w:lang w:eastAsia="en-GB"/>
        </w:rPr>
        <w:t xml:space="preserve"> re</w:t>
      </w:r>
      <w:r w:rsidR="00B44120" w:rsidRPr="00B44120">
        <w:rPr>
          <w:rFonts w:ascii="Helvetica" w:eastAsia="Times New Roman" w:hAnsi="Helvetica" w:cs="Times New Roman"/>
          <w:sz w:val="22"/>
          <w:szCs w:val="22"/>
          <w:lang w:eastAsia="en-GB"/>
        </w:rPr>
        <w:t>spectively</w:t>
      </w:r>
      <w:proofErr w:type="gramStart"/>
      <w:r>
        <w:rPr>
          <w:rFonts w:ascii="Helvetica" w:eastAsia="Times New Roman" w:hAnsi="Helvetica" w:cs="Times New Roman"/>
          <w:sz w:val="22"/>
          <w:szCs w:val="22"/>
          <w:lang w:eastAsia="en-GB"/>
        </w:rPr>
        <w:t>.</w:t>
      </w:r>
      <w:r w:rsidR="00B44120" w:rsidRPr="00B44120">
        <w:rPr>
          <w:rFonts w:ascii="Helvetica" w:eastAsia="Times New Roman" w:hAnsi="Helvetica" w:cs="Times New Roman"/>
          <w:sz w:val="22"/>
          <w:szCs w:val="22"/>
          <w:lang w:eastAsia="en-GB"/>
        </w:rPr>
        <w:t>.</w:t>
      </w:r>
      <w:proofErr w:type="gramEnd"/>
      <w:r w:rsidR="00B44120" w:rsidRPr="00B44120">
        <w:rPr>
          <w:rFonts w:ascii="Helvetica" w:eastAsia="Times New Roman" w:hAnsi="Helvetica" w:cs="Times New Roman"/>
          <w:sz w:val="22"/>
          <w:szCs w:val="22"/>
          <w:lang w:eastAsia="en-GB"/>
        </w:rPr>
        <w:t xml:space="preserve"> </w:t>
      </w:r>
      <w:r w:rsidR="00136A37">
        <w:rPr>
          <w:rFonts w:ascii="Helvetica" w:eastAsia="Times New Roman" w:hAnsi="Helvetica" w:cs="Times New Roman"/>
          <w:sz w:val="22"/>
          <w:szCs w:val="22"/>
          <w:lang w:eastAsia="en-GB"/>
        </w:rPr>
        <w:t>B</w:t>
      </w:r>
      <w:r w:rsidR="00B44120" w:rsidRPr="00B44120">
        <w:rPr>
          <w:rFonts w:ascii="Helvetica" w:eastAsia="Times New Roman" w:hAnsi="Helvetica" w:cs="Times New Roman"/>
          <w:sz w:val="22"/>
          <w:szCs w:val="22"/>
          <w:lang w:eastAsia="en-GB"/>
        </w:rPr>
        <w:t xml:space="preserve">lade lifetime environmental impact data </w:t>
      </w:r>
      <w:r w:rsidR="009E5587">
        <w:rPr>
          <w:rFonts w:ascii="Helvetica" w:eastAsia="Times New Roman" w:hAnsi="Helvetica" w:cs="Times New Roman"/>
          <w:sz w:val="22"/>
          <w:szCs w:val="22"/>
          <w:lang w:eastAsia="en-GB"/>
        </w:rPr>
        <w:t xml:space="preserve">have </w:t>
      </w:r>
      <w:r w:rsidR="00136A37">
        <w:rPr>
          <w:rFonts w:ascii="Helvetica" w:eastAsia="Times New Roman" w:hAnsi="Helvetica" w:cs="Times New Roman"/>
          <w:sz w:val="22"/>
          <w:szCs w:val="22"/>
          <w:lang w:eastAsia="en-GB"/>
        </w:rPr>
        <w:t xml:space="preserve">then </w:t>
      </w:r>
      <w:r w:rsidR="009E5587">
        <w:rPr>
          <w:rFonts w:ascii="Helvetica" w:eastAsia="Times New Roman" w:hAnsi="Helvetica" w:cs="Times New Roman"/>
          <w:sz w:val="22"/>
          <w:szCs w:val="22"/>
          <w:lang w:eastAsia="en-GB"/>
        </w:rPr>
        <w:t>been calcu</w:t>
      </w:r>
      <w:r w:rsidR="00CC060E">
        <w:rPr>
          <w:rFonts w:ascii="Helvetica" w:eastAsia="Times New Roman" w:hAnsi="Helvetica" w:cs="Times New Roman"/>
          <w:sz w:val="22"/>
          <w:szCs w:val="22"/>
          <w:lang w:eastAsia="en-GB"/>
        </w:rPr>
        <w:t>la</w:t>
      </w:r>
      <w:r w:rsidR="009E5587">
        <w:rPr>
          <w:rFonts w:ascii="Helvetica" w:eastAsia="Times New Roman" w:hAnsi="Helvetica" w:cs="Times New Roman"/>
          <w:sz w:val="22"/>
          <w:szCs w:val="22"/>
          <w:lang w:eastAsia="en-GB"/>
        </w:rPr>
        <w:t>ted</w:t>
      </w:r>
      <w:r w:rsidR="00B44120" w:rsidRPr="00B44120">
        <w:rPr>
          <w:rFonts w:ascii="Helvetica" w:eastAsia="Times New Roman" w:hAnsi="Helvetica" w:cs="Times New Roman"/>
          <w:sz w:val="22"/>
          <w:szCs w:val="22"/>
          <w:lang w:eastAsia="en-GB"/>
        </w:rPr>
        <w:t xml:space="preserve">. As there is no full </w:t>
      </w:r>
      <w:r w:rsidR="00392B03">
        <w:rPr>
          <w:rFonts w:ascii="Helvetica" w:eastAsia="Times New Roman" w:hAnsi="Helvetica" w:cs="Times New Roman"/>
          <w:sz w:val="22"/>
          <w:szCs w:val="22"/>
          <w:lang w:eastAsia="en-GB"/>
        </w:rPr>
        <w:t xml:space="preserve">CF </w:t>
      </w:r>
      <w:r w:rsidR="00B44120" w:rsidRPr="00B44120">
        <w:rPr>
          <w:rFonts w:ascii="Helvetica" w:eastAsia="Times New Roman" w:hAnsi="Helvetica" w:cs="Times New Roman"/>
          <w:sz w:val="22"/>
          <w:szCs w:val="22"/>
          <w:lang w:eastAsia="en-GB"/>
        </w:rPr>
        <w:t xml:space="preserve">blade data provided in </w:t>
      </w:r>
      <w:r w:rsidR="009B2343">
        <w:rPr>
          <w:rFonts w:ascii="Helvetica" w:eastAsia="Times New Roman" w:hAnsi="Helvetica" w:cs="Times New Roman"/>
          <w:sz w:val="22"/>
          <w:szCs w:val="22"/>
          <w:lang w:eastAsia="en-GB"/>
        </w:rPr>
        <w:t>previous stud</w:t>
      </w:r>
      <w:r w:rsidR="00CC060E">
        <w:rPr>
          <w:rFonts w:ascii="Helvetica" w:eastAsia="Times New Roman" w:hAnsi="Helvetica" w:cs="Times New Roman"/>
          <w:sz w:val="22"/>
          <w:szCs w:val="22"/>
          <w:lang w:eastAsia="en-GB"/>
        </w:rPr>
        <w:t>ies</w:t>
      </w:r>
      <w:r w:rsidR="00B44120" w:rsidRPr="00B44120">
        <w:rPr>
          <w:rFonts w:ascii="Helvetica" w:eastAsia="Times New Roman" w:hAnsi="Helvetica" w:cs="Times New Roman"/>
          <w:sz w:val="22"/>
          <w:szCs w:val="22"/>
          <w:lang w:eastAsia="en-GB"/>
        </w:rPr>
        <w:t>, this is calculated</w:t>
      </w:r>
      <w:r w:rsidR="006826BB">
        <w:rPr>
          <w:rFonts w:ascii="Helvetica" w:eastAsia="Times New Roman" w:hAnsi="Helvetica" w:cs="Times New Roman"/>
          <w:sz w:val="22"/>
          <w:szCs w:val="22"/>
          <w:lang w:eastAsia="en-GB"/>
        </w:rPr>
        <w:t xml:space="preserve"> as detailed in Section 2</w:t>
      </w:r>
      <w:r w:rsidR="00B44120" w:rsidRPr="00B44120">
        <w:rPr>
          <w:rFonts w:ascii="Helvetica" w:eastAsia="Times New Roman" w:hAnsi="Helvetica" w:cs="Times New Roman"/>
          <w:sz w:val="22"/>
          <w:szCs w:val="22"/>
          <w:lang w:eastAsia="en-GB"/>
        </w:rPr>
        <w:t xml:space="preserve">.2. </w:t>
      </w:r>
      <w:proofErr w:type="spellStart"/>
      <w:r w:rsidR="00B44120" w:rsidRPr="00B44120">
        <w:rPr>
          <w:rFonts w:ascii="Helvetica" w:eastAsia="Times New Roman" w:hAnsi="Helvetica" w:cs="Times New Roman"/>
          <w:sz w:val="22"/>
          <w:szCs w:val="22"/>
          <w:lang w:eastAsia="en-GB"/>
        </w:rPr>
        <w:t>EoL</w:t>
      </w:r>
      <w:proofErr w:type="spellEnd"/>
      <w:r w:rsidR="00B44120" w:rsidRPr="00B44120">
        <w:rPr>
          <w:rFonts w:ascii="Helvetica" w:eastAsia="Times New Roman" w:hAnsi="Helvetica" w:cs="Times New Roman"/>
          <w:sz w:val="22"/>
          <w:szCs w:val="22"/>
          <w:lang w:eastAsia="en-GB"/>
        </w:rPr>
        <w:t xml:space="preserve"> processing energies collected from the literature</w:t>
      </w:r>
      <w:r w:rsidR="005F4A27">
        <w:rPr>
          <w:rFonts w:ascii="Helvetica" w:eastAsia="Times New Roman" w:hAnsi="Helvetica" w:cs="Times New Roman"/>
          <w:sz w:val="22"/>
          <w:szCs w:val="22"/>
          <w:lang w:eastAsia="en-GB"/>
        </w:rPr>
        <w:t xml:space="preserve"> are then m</w:t>
      </w:r>
      <w:r w:rsidR="00CC060E">
        <w:rPr>
          <w:rFonts w:ascii="Helvetica" w:eastAsia="Times New Roman" w:hAnsi="Helvetica" w:cs="Times New Roman"/>
          <w:sz w:val="22"/>
          <w:szCs w:val="22"/>
          <w:lang w:eastAsia="en-GB"/>
        </w:rPr>
        <w:t>ultipl</w:t>
      </w:r>
      <w:r w:rsidR="005F4A27">
        <w:rPr>
          <w:rFonts w:ascii="Helvetica" w:eastAsia="Times New Roman" w:hAnsi="Helvetica" w:cs="Times New Roman"/>
          <w:sz w:val="22"/>
          <w:szCs w:val="22"/>
          <w:lang w:eastAsia="en-GB"/>
        </w:rPr>
        <w:t>ied</w:t>
      </w:r>
      <w:r w:rsidR="00B44120" w:rsidRPr="00B44120">
        <w:rPr>
          <w:rFonts w:ascii="Helvetica" w:eastAsia="Times New Roman" w:hAnsi="Helvetica" w:cs="Times New Roman"/>
          <w:sz w:val="22"/>
          <w:szCs w:val="22"/>
          <w:lang w:eastAsia="en-GB"/>
        </w:rPr>
        <w:t xml:space="preserve"> by the blade</w:t>
      </w:r>
      <w:r w:rsidR="00CC060E">
        <w:rPr>
          <w:rFonts w:ascii="Helvetica" w:eastAsia="Times New Roman" w:hAnsi="Helvetica" w:cs="Times New Roman"/>
          <w:sz w:val="22"/>
          <w:szCs w:val="22"/>
          <w:lang w:eastAsia="en-GB"/>
        </w:rPr>
        <w:t>’</w:t>
      </w:r>
      <w:r w:rsidR="00B44120" w:rsidRPr="00B44120">
        <w:rPr>
          <w:rFonts w:ascii="Helvetica" w:eastAsia="Times New Roman" w:hAnsi="Helvetica" w:cs="Times New Roman"/>
          <w:sz w:val="22"/>
          <w:szCs w:val="22"/>
          <w:lang w:eastAsia="en-GB"/>
        </w:rPr>
        <w:t>s mass</w:t>
      </w:r>
      <w:r w:rsidR="00CC060E" w:rsidRPr="00B44120">
        <w:rPr>
          <w:rFonts w:ascii="Helvetica" w:eastAsia="Times New Roman" w:hAnsi="Helvetica" w:cs="Times New Roman"/>
          <w:sz w:val="22"/>
          <w:szCs w:val="22"/>
          <w:lang w:eastAsia="en-GB"/>
        </w:rPr>
        <w:t xml:space="preserve"> </w:t>
      </w:r>
      <w:r w:rsidR="005F4A27">
        <w:rPr>
          <w:rFonts w:ascii="Helvetica" w:eastAsia="Times New Roman" w:hAnsi="Helvetica" w:cs="Times New Roman"/>
          <w:sz w:val="22"/>
          <w:szCs w:val="22"/>
          <w:lang w:eastAsia="en-GB"/>
        </w:rPr>
        <w:t xml:space="preserve">to </w:t>
      </w:r>
      <w:r w:rsidR="00CC060E">
        <w:rPr>
          <w:rFonts w:ascii="Helvetica" w:eastAsia="Times New Roman" w:hAnsi="Helvetica" w:cs="Times New Roman"/>
          <w:sz w:val="22"/>
          <w:szCs w:val="22"/>
          <w:lang w:eastAsia="en-GB"/>
        </w:rPr>
        <w:t xml:space="preserve">give </w:t>
      </w:r>
      <w:r w:rsidR="00B44120" w:rsidRPr="00B44120">
        <w:rPr>
          <w:rFonts w:ascii="Helvetica" w:eastAsia="Times New Roman" w:hAnsi="Helvetica" w:cs="Times New Roman"/>
          <w:sz w:val="22"/>
          <w:szCs w:val="22"/>
          <w:lang w:eastAsia="en-GB"/>
        </w:rPr>
        <w:t xml:space="preserve">the energy demand for recycling a blade. </w:t>
      </w:r>
      <w:r w:rsidR="005F4A27">
        <w:rPr>
          <w:rFonts w:ascii="Helvetica" w:eastAsia="Times New Roman" w:hAnsi="Helvetica" w:cs="Times New Roman"/>
          <w:sz w:val="22"/>
          <w:szCs w:val="22"/>
          <w:lang w:eastAsia="en-GB"/>
        </w:rPr>
        <w:t>R</w:t>
      </w:r>
      <w:r w:rsidR="00B44120" w:rsidRPr="00B44120">
        <w:rPr>
          <w:rFonts w:ascii="Helvetica" w:eastAsia="Times New Roman" w:hAnsi="Helvetica" w:cs="Times New Roman" w:hint="eastAsia"/>
          <w:sz w:val="22"/>
          <w:szCs w:val="22"/>
          <w:lang w:eastAsia="en-GB"/>
        </w:rPr>
        <w:t xml:space="preserve">ecyclate </w:t>
      </w:r>
      <w:r w:rsidR="00B44120" w:rsidRPr="00B44120">
        <w:rPr>
          <w:rFonts w:ascii="Helvetica" w:eastAsia="Times New Roman" w:hAnsi="Helvetica" w:cs="Times New Roman"/>
          <w:sz w:val="22"/>
          <w:szCs w:val="22"/>
          <w:lang w:eastAsia="en-GB"/>
        </w:rPr>
        <w:t xml:space="preserve">yield rates </w:t>
      </w:r>
      <w:r w:rsidR="009A3E69">
        <w:rPr>
          <w:rFonts w:ascii="Helvetica" w:eastAsia="Times New Roman" w:hAnsi="Helvetica" w:cs="Times New Roman"/>
          <w:sz w:val="22"/>
          <w:szCs w:val="22"/>
          <w:lang w:eastAsia="en-GB"/>
        </w:rPr>
        <w:t>are included to derive the</w:t>
      </w:r>
      <w:r w:rsidR="00B44120" w:rsidRPr="00B44120">
        <w:rPr>
          <w:rFonts w:ascii="Helvetica" w:eastAsia="Times New Roman" w:hAnsi="Helvetica" w:cs="Times New Roman"/>
          <w:sz w:val="22"/>
          <w:szCs w:val="22"/>
          <w:lang w:eastAsia="en-GB"/>
        </w:rPr>
        <w:t xml:space="preserve"> recycling benefits. </w:t>
      </w:r>
      <w:r w:rsidR="009A3E69">
        <w:rPr>
          <w:rFonts w:ascii="Helvetica" w:eastAsia="Times New Roman" w:hAnsi="Helvetica" w:cs="Times New Roman"/>
          <w:sz w:val="22"/>
          <w:szCs w:val="22"/>
          <w:lang w:eastAsia="en-GB"/>
        </w:rPr>
        <w:t>T</w:t>
      </w:r>
      <w:r w:rsidR="001F587B">
        <w:rPr>
          <w:rFonts w:ascii="Helvetica" w:eastAsia="Times New Roman" w:hAnsi="Helvetica" w:cs="Times New Roman"/>
          <w:sz w:val="22"/>
          <w:szCs w:val="22"/>
          <w:lang w:eastAsia="en-GB"/>
        </w:rPr>
        <w:t>h</w:t>
      </w:r>
      <w:r w:rsidR="001F587B">
        <w:rPr>
          <w:rFonts w:ascii="Helvetica" w:eastAsia="Times New Roman" w:hAnsi="Helvetica" w:cs="Times New Roman" w:hint="eastAsia"/>
          <w:sz w:val="22"/>
          <w:szCs w:val="22"/>
          <w:lang w:eastAsia="zh-CN"/>
        </w:rPr>
        <w:t>e</w:t>
      </w:r>
      <w:r w:rsidR="001F587B">
        <w:rPr>
          <w:rFonts w:ascii="Helvetica" w:eastAsia="Times New Roman" w:hAnsi="Helvetica" w:cs="Times New Roman"/>
          <w:sz w:val="22"/>
          <w:szCs w:val="22"/>
          <w:lang w:eastAsia="zh-CN"/>
        </w:rPr>
        <w:t xml:space="preserve"> </w:t>
      </w:r>
      <w:r w:rsidR="00B44120" w:rsidRPr="00B44120">
        <w:rPr>
          <w:rFonts w:ascii="Helvetica" w:eastAsia="Times New Roman" w:hAnsi="Helvetica" w:cs="Times New Roman"/>
          <w:i/>
          <w:sz w:val="22"/>
          <w:szCs w:val="22"/>
          <w:lang w:eastAsia="en-GB"/>
        </w:rPr>
        <w:t>lifetime impact</w:t>
      </w:r>
      <w:r w:rsidR="00B44120" w:rsidRPr="00B44120">
        <w:rPr>
          <w:rFonts w:ascii="Helvetica" w:eastAsia="Times New Roman" w:hAnsi="Helvetica" w:cs="Times New Roman"/>
          <w:sz w:val="22"/>
          <w:szCs w:val="22"/>
          <w:lang w:eastAsia="en-GB"/>
        </w:rPr>
        <w:t xml:space="preserve"> </w:t>
      </w:r>
      <w:r w:rsidR="005D6D08">
        <w:rPr>
          <w:rFonts w:ascii="Helvetica" w:eastAsia="Times New Roman" w:hAnsi="Helvetica" w:cs="Times New Roman"/>
          <w:sz w:val="22"/>
          <w:szCs w:val="22"/>
          <w:lang w:eastAsia="en-GB"/>
        </w:rPr>
        <w:t>plus</w:t>
      </w:r>
      <w:r w:rsidR="005D6D08" w:rsidRPr="00B44120">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sz w:val="22"/>
          <w:szCs w:val="22"/>
          <w:lang w:eastAsia="en-GB"/>
        </w:rPr>
        <w:t xml:space="preserve">the </w:t>
      </w:r>
      <w:r w:rsidR="00B44120" w:rsidRPr="00B44120">
        <w:rPr>
          <w:rFonts w:ascii="Helvetica" w:eastAsia="Times New Roman" w:hAnsi="Helvetica" w:cs="Times New Roman"/>
          <w:i/>
          <w:sz w:val="22"/>
          <w:szCs w:val="22"/>
          <w:lang w:eastAsia="en-GB"/>
        </w:rPr>
        <w:t>recycling benefits</w:t>
      </w:r>
      <w:r w:rsidR="00B44120" w:rsidRPr="00B44120">
        <w:rPr>
          <w:rFonts w:ascii="Helvetica" w:eastAsia="Times New Roman" w:hAnsi="Helvetica" w:cs="Times New Roman"/>
          <w:sz w:val="22"/>
          <w:szCs w:val="22"/>
          <w:lang w:eastAsia="en-GB"/>
        </w:rPr>
        <w:t xml:space="preserve"> </w:t>
      </w:r>
      <w:r w:rsidR="008D6330">
        <w:rPr>
          <w:rFonts w:ascii="Helvetica" w:eastAsia="Times New Roman" w:hAnsi="Helvetica" w:cs="Times New Roman"/>
          <w:sz w:val="22"/>
          <w:szCs w:val="22"/>
          <w:lang w:eastAsia="en-GB"/>
        </w:rPr>
        <w:t>constitutes</w:t>
      </w:r>
      <w:r w:rsidR="00B44120" w:rsidRPr="00B44120">
        <w:rPr>
          <w:rFonts w:ascii="Helvetica" w:eastAsia="Times New Roman" w:hAnsi="Helvetica" w:cs="Times New Roman"/>
          <w:sz w:val="22"/>
          <w:szCs w:val="22"/>
          <w:lang w:eastAsia="en-GB"/>
        </w:rPr>
        <w:t xml:space="preserve"> the </w:t>
      </w:r>
      <w:r w:rsidR="00B44120" w:rsidRPr="00B44120">
        <w:rPr>
          <w:rFonts w:ascii="Helvetica" w:eastAsia="Times New Roman" w:hAnsi="Helvetica" w:cs="Times New Roman"/>
          <w:i/>
          <w:sz w:val="22"/>
          <w:szCs w:val="22"/>
          <w:lang w:eastAsia="en-GB"/>
        </w:rPr>
        <w:t>net impact</w:t>
      </w:r>
      <w:r w:rsidR="00B44120" w:rsidRPr="00B44120">
        <w:rPr>
          <w:rFonts w:ascii="Helvetica" w:eastAsia="Times New Roman" w:hAnsi="Helvetica" w:cs="Times New Roman"/>
          <w:sz w:val="22"/>
          <w:szCs w:val="22"/>
          <w:lang w:eastAsia="en-GB"/>
        </w:rPr>
        <w:t xml:space="preserve"> of each </w:t>
      </w:r>
      <w:proofErr w:type="spellStart"/>
      <w:r w:rsidR="00B44120" w:rsidRPr="00B44120">
        <w:rPr>
          <w:rFonts w:ascii="Helvetica" w:eastAsia="Times New Roman" w:hAnsi="Helvetica" w:cs="Times New Roman"/>
          <w:sz w:val="22"/>
          <w:szCs w:val="22"/>
          <w:lang w:eastAsia="en-GB"/>
        </w:rPr>
        <w:t>EoL</w:t>
      </w:r>
      <w:proofErr w:type="spellEnd"/>
      <w:r w:rsidR="00B44120" w:rsidRPr="00B44120">
        <w:rPr>
          <w:rFonts w:ascii="Helvetica" w:eastAsia="Times New Roman" w:hAnsi="Helvetica" w:cs="Times New Roman"/>
          <w:sz w:val="22"/>
          <w:szCs w:val="22"/>
          <w:lang w:eastAsia="en-GB"/>
        </w:rPr>
        <w:t xml:space="preserve"> option. Finally, the </w:t>
      </w:r>
      <w:r w:rsidR="00B44120" w:rsidRPr="00B44120">
        <w:rPr>
          <w:rFonts w:ascii="Helvetica" w:eastAsia="Times New Roman" w:hAnsi="Helvetica" w:cs="Times New Roman"/>
          <w:i/>
          <w:sz w:val="22"/>
          <w:szCs w:val="22"/>
          <w:lang w:eastAsia="en-GB"/>
        </w:rPr>
        <w:t>net impact</w:t>
      </w:r>
      <w:r w:rsidR="00B44120" w:rsidRPr="00B44120">
        <w:rPr>
          <w:rFonts w:ascii="Helvetica" w:eastAsia="Times New Roman" w:hAnsi="Helvetica" w:cs="Times New Roman"/>
          <w:sz w:val="22"/>
          <w:szCs w:val="22"/>
          <w:lang w:eastAsia="en-GB"/>
        </w:rPr>
        <w:t xml:space="preserve"> of each </w:t>
      </w:r>
      <w:proofErr w:type="spellStart"/>
      <w:r w:rsidR="00B44120" w:rsidRPr="00B44120">
        <w:rPr>
          <w:rFonts w:ascii="Helvetica" w:eastAsia="Times New Roman" w:hAnsi="Helvetica" w:cs="Times New Roman"/>
          <w:sz w:val="22"/>
          <w:szCs w:val="22"/>
          <w:lang w:eastAsia="en-GB"/>
        </w:rPr>
        <w:t>EoL</w:t>
      </w:r>
      <w:proofErr w:type="spellEnd"/>
      <w:r w:rsidR="00B44120" w:rsidRPr="00B44120">
        <w:rPr>
          <w:rFonts w:ascii="Helvetica" w:eastAsia="Times New Roman" w:hAnsi="Helvetica" w:cs="Times New Roman"/>
          <w:sz w:val="22"/>
          <w:szCs w:val="22"/>
          <w:lang w:eastAsia="en-GB"/>
        </w:rPr>
        <w:t xml:space="preserve"> option is compared </w:t>
      </w:r>
      <w:r w:rsidR="007A5565">
        <w:rPr>
          <w:rFonts w:ascii="Helvetica" w:eastAsia="Times New Roman" w:hAnsi="Helvetica" w:cs="Times New Roman"/>
          <w:sz w:val="22"/>
          <w:szCs w:val="22"/>
          <w:lang w:eastAsia="en-GB"/>
        </w:rPr>
        <w:t>using impact from landfill as the benchmark</w:t>
      </w:r>
      <w:r w:rsidR="00B44120" w:rsidRPr="00B44120">
        <w:rPr>
          <w:rFonts w:ascii="Helvetica" w:eastAsia="Times New Roman" w:hAnsi="Helvetica" w:cs="Times New Roman"/>
          <w:sz w:val="22"/>
          <w:szCs w:val="22"/>
          <w:lang w:eastAsia="en-GB"/>
        </w:rPr>
        <w:t xml:space="preserve">, and the ‘optimal’ </w:t>
      </w:r>
      <w:proofErr w:type="spellStart"/>
      <w:r w:rsidR="00B44120" w:rsidRPr="00B44120">
        <w:rPr>
          <w:rFonts w:ascii="Helvetica" w:eastAsia="Times New Roman" w:hAnsi="Helvetica" w:cs="Times New Roman"/>
          <w:sz w:val="22"/>
          <w:szCs w:val="22"/>
          <w:lang w:eastAsia="en-GB"/>
        </w:rPr>
        <w:t>EoL</w:t>
      </w:r>
      <w:proofErr w:type="spellEnd"/>
      <w:r w:rsidR="00B44120" w:rsidRPr="00B44120">
        <w:rPr>
          <w:rFonts w:ascii="Helvetica" w:eastAsia="Times New Roman" w:hAnsi="Helvetica" w:cs="Times New Roman"/>
          <w:sz w:val="22"/>
          <w:szCs w:val="22"/>
          <w:lang w:eastAsia="en-GB"/>
        </w:rPr>
        <w:t xml:space="preserve"> option in terms of environmental performance is then discussed. </w:t>
      </w:r>
      <w:r w:rsidR="003402E3">
        <w:rPr>
          <w:rFonts w:ascii="Helvetica" w:eastAsia="Times New Roman" w:hAnsi="Helvetica" w:cs="Times New Roman"/>
          <w:sz w:val="22"/>
          <w:szCs w:val="22"/>
          <w:lang w:eastAsia="en-GB"/>
        </w:rPr>
        <w:t>The logic flow is presented in Figure 1 as shown below.</w:t>
      </w:r>
    </w:p>
    <w:p w14:paraId="4E3858C9" w14:textId="77777777" w:rsidR="00F8574A" w:rsidRDefault="00F8574A" w:rsidP="00F8574A">
      <w:pPr>
        <w:keepNext/>
        <w:tabs>
          <w:tab w:val="left" w:pos="851"/>
        </w:tabs>
        <w:spacing w:before="120" w:line="360" w:lineRule="auto"/>
      </w:pPr>
      <w:r>
        <w:rPr>
          <w:rFonts w:ascii="Helvetica" w:eastAsia="Times New Roman" w:hAnsi="Helvetica" w:cs="Times New Roman"/>
          <w:noProof/>
          <w:sz w:val="22"/>
          <w:szCs w:val="22"/>
          <w:lang w:eastAsia="zh-CN"/>
        </w:rPr>
        <w:drawing>
          <wp:inline distT="0" distB="0" distL="0" distR="0" wp14:anchorId="51F519FD" wp14:editId="42F2E27D">
            <wp:extent cx="5727700" cy="2491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4-12 at 11.34.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491105"/>
                    </a:xfrm>
                    <a:prstGeom prst="rect">
                      <a:avLst/>
                    </a:prstGeom>
                  </pic:spPr>
                </pic:pic>
              </a:graphicData>
            </a:graphic>
          </wp:inline>
        </w:drawing>
      </w:r>
    </w:p>
    <w:p w14:paraId="03E36FB6" w14:textId="1432F208" w:rsidR="00D56FED" w:rsidRPr="00C85568" w:rsidRDefault="00F8574A" w:rsidP="00FF14B7">
      <w:pPr>
        <w:pStyle w:val="Caption"/>
      </w:pPr>
      <w:r>
        <w:t xml:space="preserve">Figure </w:t>
      </w:r>
      <w:r w:rsidR="00107EB7">
        <w:rPr>
          <w:noProof/>
        </w:rPr>
        <w:fldChar w:fldCharType="begin"/>
      </w:r>
      <w:r w:rsidR="0060508C">
        <w:rPr>
          <w:noProof/>
        </w:rPr>
        <w:instrText xml:space="preserve"> SEQ Figure \* ARABIC </w:instrText>
      </w:r>
      <w:r w:rsidR="00107EB7">
        <w:rPr>
          <w:noProof/>
        </w:rPr>
        <w:fldChar w:fldCharType="separate"/>
      </w:r>
      <w:r w:rsidR="00CB61A7">
        <w:rPr>
          <w:noProof/>
        </w:rPr>
        <w:t>1</w:t>
      </w:r>
      <w:r w:rsidR="00107EB7">
        <w:rPr>
          <w:noProof/>
        </w:rPr>
        <w:fldChar w:fldCharType="end"/>
      </w:r>
      <w:r>
        <w:t xml:space="preserve">: Schematic logic flow for </w:t>
      </w:r>
      <w:r w:rsidR="00B865E3">
        <w:t>n</w:t>
      </w:r>
      <w:r>
        <w:t xml:space="preserve">et </w:t>
      </w:r>
      <w:r w:rsidR="00B865E3">
        <w:t>i</w:t>
      </w:r>
      <w:r>
        <w:t>mpact calculation.</w:t>
      </w:r>
      <w:r w:rsidR="00843ADC">
        <w:t xml:space="preserve"> O&amp;M=</w:t>
      </w:r>
      <w:r w:rsidR="00843ADC" w:rsidRPr="004A7EA8">
        <w:t xml:space="preserve"> operation and maintenance</w:t>
      </w:r>
      <w:r w:rsidR="00843ADC">
        <w:t xml:space="preserve">; FRP= fibre reinforced plastics including glass fibre reinforced plastics and carbon fibre reinforced plastics; </w:t>
      </w:r>
      <w:proofErr w:type="spellStart"/>
      <w:r w:rsidR="00843ADC">
        <w:t>EoL</w:t>
      </w:r>
      <w:proofErr w:type="spellEnd"/>
      <w:r w:rsidR="00843ADC">
        <w:t>= end of life.</w:t>
      </w:r>
    </w:p>
    <w:p w14:paraId="31323D3A" w14:textId="16964682" w:rsidR="00545B7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The major hypothesis in this model is that the recyclate benefit </w:t>
      </w:r>
      <w:r w:rsidRPr="00B44120">
        <w:rPr>
          <w:rFonts w:ascii="Helvetica" w:eastAsia=".Apple Color Emoji UI" w:hAnsi="Helvetica" w:cs="Times New Roman"/>
          <w:sz w:val="22"/>
          <w:szCs w:val="22"/>
          <w:lang w:eastAsia="en-GB"/>
        </w:rPr>
        <w:t xml:space="preserve">is assumed to be proportional to its tensile strength since tensile strength is one of the most important </w:t>
      </w:r>
      <w:r w:rsidR="00CC060E">
        <w:rPr>
          <w:rFonts w:ascii="Helvetica" w:eastAsia=".Apple Color Emoji UI" w:hAnsi="Helvetica" w:cs="Times New Roman"/>
          <w:sz w:val="22"/>
          <w:szCs w:val="22"/>
          <w:lang w:eastAsia="en-GB"/>
        </w:rPr>
        <w:t>properties</w:t>
      </w:r>
      <w:r w:rsidR="00CC060E" w:rsidRPr="00B44120">
        <w:rPr>
          <w:rFonts w:ascii="Helvetica" w:eastAsia=".Apple Color Emoji UI" w:hAnsi="Helvetica" w:cs="Times New Roman"/>
          <w:sz w:val="22"/>
          <w:szCs w:val="22"/>
          <w:lang w:eastAsia="en-GB"/>
        </w:rPr>
        <w:t xml:space="preserve"> </w:t>
      </w:r>
      <w:r w:rsidRPr="00B44120">
        <w:rPr>
          <w:rFonts w:ascii="Helvetica" w:eastAsia=".Apple Color Emoji UI" w:hAnsi="Helvetica" w:cs="Times New Roman"/>
          <w:sz w:val="22"/>
          <w:szCs w:val="22"/>
          <w:lang w:eastAsia="en-GB"/>
        </w:rPr>
        <w:t xml:space="preserve">of blade materials. For example, if the tensile strength of the recycled fibre is </w:t>
      </w:r>
      <w:r w:rsidR="00666A36">
        <w:rPr>
          <w:rFonts w:ascii="Helvetica" w:eastAsia=".Apple Color Emoji UI" w:hAnsi="Helvetica" w:cs="Times New Roman"/>
          <w:sz w:val="22"/>
          <w:szCs w:val="22"/>
          <w:lang w:eastAsia="en-GB"/>
        </w:rPr>
        <w:t>80</w:t>
      </w:r>
      <w:r w:rsidRPr="00B44120">
        <w:rPr>
          <w:rFonts w:ascii="Helvetica" w:eastAsia=".Apple Color Emoji UI" w:hAnsi="Helvetica" w:cs="Times New Roman"/>
          <w:sz w:val="22"/>
          <w:szCs w:val="22"/>
          <w:lang w:eastAsia="en-GB"/>
        </w:rPr>
        <w:t xml:space="preserve">% that of virgin fibre, the environmental impact benefits of recycled fibre are </w:t>
      </w:r>
      <w:r w:rsidR="0090120D">
        <w:rPr>
          <w:rFonts w:ascii="Helvetica" w:eastAsia=".Apple Color Emoji UI" w:hAnsi="Helvetica" w:cs="Times New Roman"/>
          <w:sz w:val="22"/>
          <w:szCs w:val="22"/>
          <w:lang w:eastAsia="en-GB"/>
        </w:rPr>
        <w:t xml:space="preserve">taken to be </w:t>
      </w:r>
      <w:r w:rsidR="00666A36">
        <w:rPr>
          <w:rFonts w:ascii="Helvetica" w:eastAsia=".Apple Color Emoji UI" w:hAnsi="Helvetica" w:cs="Times New Roman"/>
          <w:sz w:val="22"/>
          <w:szCs w:val="22"/>
          <w:lang w:eastAsia="en-GB"/>
        </w:rPr>
        <w:t>80</w:t>
      </w:r>
      <w:r w:rsidRPr="00B44120">
        <w:rPr>
          <w:rFonts w:ascii="Helvetica" w:eastAsia=".Apple Color Emoji UI" w:hAnsi="Helvetica" w:cs="Times New Roman"/>
          <w:sz w:val="22"/>
          <w:szCs w:val="22"/>
          <w:lang w:eastAsia="en-GB"/>
        </w:rPr>
        <w:t xml:space="preserve">% of the environmental impact of virgin fibre. </w:t>
      </w:r>
      <w:r w:rsidRPr="00B44120">
        <w:rPr>
          <w:rFonts w:ascii="Helvetica" w:eastAsia="Times New Roman" w:hAnsi="Helvetica" w:cs="Times New Roman"/>
          <w:sz w:val="22"/>
          <w:szCs w:val="22"/>
          <w:lang w:eastAsia="en-GB"/>
        </w:rPr>
        <w:t xml:space="preserve">Energy consumption (MJ/kg) is the main </w:t>
      </w:r>
      <w:r w:rsidR="00843ADC" w:rsidRPr="00B44120">
        <w:rPr>
          <w:rFonts w:ascii="Helvetica" w:eastAsia="Times New Roman" w:hAnsi="Helvetica" w:cs="Times New Roman"/>
          <w:sz w:val="22"/>
          <w:szCs w:val="22"/>
          <w:lang w:eastAsia="en-GB"/>
        </w:rPr>
        <w:t>me</w:t>
      </w:r>
      <w:r w:rsidR="00843ADC">
        <w:rPr>
          <w:rFonts w:ascii="Helvetica" w:eastAsia="Times New Roman" w:hAnsi="Helvetica" w:cs="Times New Roman"/>
          <w:sz w:val="22"/>
          <w:szCs w:val="22"/>
          <w:lang w:eastAsia="en-GB"/>
        </w:rPr>
        <w:t>tric</w:t>
      </w:r>
      <w:r w:rsidR="00843ADC"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used to </w:t>
      </w:r>
      <w:r w:rsidR="00843ADC">
        <w:rPr>
          <w:rFonts w:ascii="Helvetica" w:eastAsia="Times New Roman" w:hAnsi="Helvetica" w:cs="Times New Roman"/>
          <w:sz w:val="22"/>
          <w:szCs w:val="22"/>
          <w:lang w:eastAsia="en-GB"/>
        </w:rPr>
        <w:t>assess</w:t>
      </w:r>
      <w:r w:rsidR="00843ADC"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environmental impact.</w:t>
      </w:r>
    </w:p>
    <w:p w14:paraId="6F639A35" w14:textId="77777777" w:rsidR="00B44120" w:rsidRPr="00B44120" w:rsidRDefault="00B44120" w:rsidP="00B44120">
      <w:pPr>
        <w:pStyle w:val="Heading2"/>
      </w:pPr>
      <w:r w:rsidRPr="00B44120">
        <w:t>Blade models</w:t>
      </w:r>
    </w:p>
    <w:p w14:paraId="6E6EF364" w14:textId="715B728C" w:rsidR="00B44120" w:rsidRPr="00B44120" w:rsidRDefault="00B44120" w:rsidP="00B44120">
      <w:pPr>
        <w:tabs>
          <w:tab w:val="left" w:pos="851"/>
        </w:tabs>
        <w:spacing w:before="120" w:line="360" w:lineRule="auto"/>
        <w:rPr>
          <w:rFonts w:ascii="Helvetica" w:eastAsia=".Apple Color Emoji UI" w:hAnsi="Helvetica" w:cs="Times New Roman"/>
          <w:sz w:val="22"/>
          <w:szCs w:val="22"/>
          <w:lang w:eastAsia="en-GB"/>
        </w:rPr>
      </w:pPr>
      <w:r w:rsidRPr="00B44120">
        <w:rPr>
          <w:rFonts w:ascii="Helvetica" w:eastAsia="Times New Roman" w:hAnsi="Helvetica" w:cs="Times New Roman"/>
          <w:sz w:val="22"/>
          <w:szCs w:val="22"/>
          <w:lang w:eastAsia="en-GB"/>
        </w:rPr>
        <w:t xml:space="preserve">This research </w:t>
      </w:r>
      <w:r w:rsidR="00B37784">
        <w:rPr>
          <w:rFonts w:ascii="Helvetica" w:eastAsia="Times New Roman" w:hAnsi="Helvetica" w:cs="Times New Roman"/>
          <w:sz w:val="22"/>
          <w:szCs w:val="22"/>
          <w:lang w:eastAsia="en-GB"/>
        </w:rPr>
        <w:t>aims</w:t>
      </w:r>
      <w:r w:rsidRPr="00B44120">
        <w:rPr>
          <w:rFonts w:ascii="Helvetica" w:eastAsia="Times New Roman" w:hAnsi="Helvetica" w:cs="Times New Roman"/>
          <w:sz w:val="22"/>
          <w:szCs w:val="22"/>
          <w:lang w:eastAsia="en-GB"/>
        </w:rPr>
        <w:t xml:space="preserve"> to use the most up-to-date blade models in its analysis.</w:t>
      </w:r>
      <w:r w:rsidRPr="00B44120">
        <w:rPr>
          <w:rFonts w:ascii="Helvetica" w:eastAsia="Times New Roman" w:hAnsi="Helvetica" w:cs="Times New Roman" w:hint="eastAsia"/>
          <w:sz w:val="22"/>
          <w:szCs w:val="22"/>
          <w:lang w:eastAsia="en-GB"/>
        </w:rPr>
        <w:t xml:space="preserve"> </w:t>
      </w:r>
      <w:r w:rsidR="00D4172A">
        <w:rPr>
          <w:rFonts w:ascii="Helvetica" w:eastAsia="Times New Roman" w:hAnsi="Helvetica" w:cs="Times New Roman"/>
          <w:sz w:val="22"/>
          <w:szCs w:val="22"/>
          <w:lang w:eastAsia="en-GB"/>
        </w:rPr>
        <w:t>However, data for the recent 2 - 3 MW</w:t>
      </w:r>
      <w:r w:rsidRPr="00B44120">
        <w:rPr>
          <w:rFonts w:ascii="Helvetica" w:eastAsia="Times New Roman" w:hAnsi="Helvetica" w:cs="Times New Roman"/>
          <w:sz w:val="22"/>
          <w:szCs w:val="22"/>
          <w:lang w:eastAsia="en-GB"/>
        </w:rPr>
        <w:t xml:space="preserve"> </w:t>
      </w:r>
      <w:r w:rsidR="007D5ACA">
        <w:rPr>
          <w:rFonts w:ascii="Helvetica" w:eastAsia="Times New Roman" w:hAnsi="Helvetica" w:cs="Times New Roman" w:hint="eastAsia"/>
          <w:sz w:val="22"/>
          <w:szCs w:val="22"/>
        </w:rPr>
        <w:t xml:space="preserve">onshore </w:t>
      </w:r>
      <w:r w:rsidRPr="00B44120">
        <w:rPr>
          <w:rFonts w:ascii="Helvetica" w:eastAsia="Times New Roman" w:hAnsi="Helvetica" w:cs="Times New Roman"/>
          <w:sz w:val="22"/>
          <w:szCs w:val="22"/>
          <w:lang w:eastAsia="en-GB"/>
        </w:rPr>
        <w:t>tur</w:t>
      </w:r>
      <w:r w:rsidR="00C3784D">
        <w:rPr>
          <w:rFonts w:ascii="Helvetica" w:eastAsia="Times New Roman" w:hAnsi="Helvetica" w:cs="Times New Roman"/>
          <w:sz w:val="22"/>
          <w:szCs w:val="22"/>
          <w:lang w:eastAsia="en-GB"/>
        </w:rPr>
        <w:t>bines</w:t>
      </w:r>
      <w:r w:rsidR="00744168">
        <w:rPr>
          <w:rFonts w:ascii="Helvetica" w:eastAsia="Times New Roman" w:hAnsi="Helvetica" w:cs="Times New Roman"/>
          <w:sz w:val="22"/>
          <w:szCs w:val="22"/>
          <w:lang w:eastAsia="en-GB"/>
        </w:rPr>
        <w:t xml:space="preserve"> </w:t>
      </w:r>
      <w:r w:rsidR="00107EB7">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URL":"http://www.ewea.org/fileadmin/files/library/publications/scenarios/EWEA-Wind-energy-scenarios-2020.pdf","accessed":{"date-parts":[["2014","11","12"]]},"author":[{"dropping-particle":"","family":"EWEA","given":"","non-dropping-particle":"","parse-names":false,"suffix":""}],"id":"ITEM-1","issue":"July","issued":{"date-parts":[["2014"]]},"page":"1-8","title":"Wind energy scenarios for 2020","type":"webpage"},"uris":["http://www.mendeley.com/documents/?uuid=fb571d98-7631-4ff6-a18b-a6bd29b2475f"]},{"id":"ITEM-2","itemData":{"ISBN":"9783981593402","URL":"http://www.gwec.net/global-figures/wind-energy-global-status/","abstract":"The continued growth and expansion of the wind power industry in the face of a global recession and a financial crisis is a testament to the inherent attractiveness of the technology. Wind power is clean, reliable, and quick to install; it’s the leading electricity generation technology in the fight against climate change, enhancing energy security, stabilising electricity prices, cleaning up our air and creating thousands of quality jobs in the manufacturing sector when they’re particularly hard to come by. Early 2009, when we published our last set of five year projections, was the absolute low point of the financial crisis. Capital was largely unavailable in most OECD countries, and bankers and consultancies were all predicting a dramatic drop in the renewable energy sector in general and in wind power in particular. GWEC’s prediction of 12% growth in the wind sector was generally greeted with disbelief and derision, figuring we were just trying to put a brave face on disaster.","accessed":{"date-parts":[["2016","6","9"]]},"author":[{"dropping-particle":"","family":"GWEC","given":"","non-dropping-particle":"","parse-names":false,"suffix":""}],"container-title":"Wind energy technology","id":"ITEM-2","issued":{"date-parts":[["2016"]]},"page":"75","title":"Global Wind Report 2015: Annual market update","type":"webpage"},"uris":["http://www.mendeley.com/documents/?uuid=738a8183-4d0e-4e7d-a8af-3dbf3e51207e"]}],"mendeley":{"formattedCitation":"(EWEA, 2014; GWEC, 2016)","plainTextFormattedCitation":"(EWEA, 2014; GWEC, 2016)","previouslyFormattedCitation":"(EWEA, 2014; GWEC, 2016)"},"properties":{"noteIndex":0},"schema":"https://github.com/citation-style-language/schema/raw/master/csl-citation.json"}</w:instrText>
      </w:r>
      <w:r w:rsidR="00107EB7">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(EWEA, 2014; GWEC, 2016)</w:t>
      </w:r>
      <w:r w:rsidR="00107EB7">
        <w:rPr>
          <w:rFonts w:ascii="Helvetica" w:eastAsia="Times New Roman" w:hAnsi="Helvetica" w:cs="Times New Roman"/>
          <w:sz w:val="22"/>
          <w:szCs w:val="22"/>
          <w:lang w:eastAsia="en-GB"/>
        </w:rPr>
        <w:fldChar w:fldCharType="end"/>
      </w:r>
      <w:r w:rsidR="00392B03">
        <w:rPr>
          <w:rFonts w:ascii="Helvetica" w:eastAsia="Times New Roman" w:hAnsi="Helvetica" w:cs="Times New Roman"/>
          <w:sz w:val="22"/>
          <w:szCs w:val="22"/>
          <w:lang w:eastAsia="en-GB"/>
        </w:rPr>
        <w:t xml:space="preserve"> are not available</w:t>
      </w:r>
      <w:r w:rsidR="00D4172A">
        <w:rPr>
          <w:rFonts w:ascii="Helvetica" w:eastAsia="Times New Roman" w:hAnsi="Helvetica" w:cs="Times New Roman"/>
          <w:sz w:val="22"/>
          <w:szCs w:val="22"/>
          <w:lang w:eastAsia="en-GB"/>
        </w:rPr>
        <w:t xml:space="preserve"> due to confidentiality</w:t>
      </w:r>
      <w:r w:rsidRPr="00B44120">
        <w:rPr>
          <w:rFonts w:ascii="Helvetica" w:eastAsia="Times New Roman" w:hAnsi="Helvetica" w:cs="Times New Roman"/>
          <w:sz w:val="22"/>
          <w:szCs w:val="22"/>
          <w:lang w:eastAsia="en-GB"/>
        </w:rPr>
        <w:t xml:space="preserve">. </w:t>
      </w:r>
      <w:r w:rsidR="00860AD9">
        <w:rPr>
          <w:rFonts w:ascii="Helvetica" w:eastAsia="Times New Roman" w:hAnsi="Helvetica" w:cs="Times New Roman"/>
          <w:sz w:val="22"/>
          <w:szCs w:val="22"/>
          <w:lang w:eastAsia="en-GB"/>
        </w:rPr>
        <w:t>In</w:t>
      </w:r>
      <w:r w:rsidR="00392B03">
        <w:rPr>
          <w:rFonts w:ascii="Helvetica" w:eastAsia="Times New Roman" w:hAnsi="Helvetica" w:cs="Times New Roman"/>
          <w:sz w:val="22"/>
          <w:szCs w:val="22"/>
          <w:lang w:eastAsia="en-GB"/>
        </w:rPr>
        <w:t>stead</w:t>
      </w:r>
      <w:r w:rsidRPr="00B44120">
        <w:rPr>
          <w:rFonts w:ascii="Helvetica" w:eastAsia="Times New Roman" w:hAnsi="Helvetica" w:cs="Times New Roman"/>
          <w:sz w:val="22"/>
          <w:szCs w:val="22"/>
          <w:lang w:eastAsia="en-GB"/>
        </w:rPr>
        <w:t xml:space="preserve">, the </w:t>
      </w:r>
      <w:r w:rsidR="00D4172A">
        <w:rPr>
          <w:rFonts w:ascii="Helvetica" w:eastAsia="Times New Roman" w:hAnsi="Helvetica" w:cs="Times New Roman"/>
          <w:sz w:val="22"/>
          <w:szCs w:val="22"/>
          <w:lang w:eastAsia="en-GB"/>
        </w:rPr>
        <w:t xml:space="preserve">analysis uses the </w:t>
      </w:r>
      <w:r w:rsidRPr="00B44120">
        <w:rPr>
          <w:rFonts w:ascii="Helvetica" w:eastAsia="Times New Roman" w:hAnsi="Helvetica" w:cs="Times New Roman"/>
          <w:sz w:val="22"/>
          <w:szCs w:val="22"/>
          <w:lang w:eastAsia="en-GB"/>
        </w:rPr>
        <w:t>second most recent 1.5</w:t>
      </w:r>
      <w:r w:rsidR="00545B7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- 2 MW blade models, which are mainstream models installed between 2006 and 2013. </w:t>
      </w:r>
      <w:r w:rsidR="00392B03">
        <w:rPr>
          <w:rFonts w:ascii="Helvetica" w:eastAsia="Times New Roman" w:hAnsi="Helvetica" w:cs="Times New Roman"/>
          <w:sz w:val="22"/>
          <w:szCs w:val="22"/>
          <w:lang w:eastAsia="en-GB"/>
        </w:rPr>
        <w:t>Currently</w:t>
      </w:r>
      <w:r w:rsidRPr="00B44120">
        <w:rPr>
          <w:rFonts w:ascii="Helvetica" w:eastAsia="Times New Roman" w:hAnsi="Helvetica" w:cs="Times New Roman"/>
          <w:sz w:val="22"/>
          <w:szCs w:val="22"/>
          <w:lang w:eastAsia="en-GB"/>
        </w:rPr>
        <w:t>, most blades are made</w:t>
      </w:r>
      <w:r w:rsidR="00D4172A" w:rsidRPr="00B44120">
        <w:rPr>
          <w:rFonts w:ascii="Helvetica" w:eastAsia="Times New Roman" w:hAnsi="Helvetica" w:cs="Times New Roman"/>
          <w:sz w:val="22"/>
          <w:szCs w:val="22"/>
          <w:lang w:eastAsia="en-GB"/>
        </w:rPr>
        <w:t xml:space="preserve"> entirely</w:t>
      </w:r>
      <w:r w:rsidRPr="00B44120">
        <w:rPr>
          <w:rFonts w:ascii="Helvetica" w:eastAsia="Times New Roman" w:hAnsi="Helvetica" w:cs="Times New Roman"/>
          <w:sz w:val="22"/>
          <w:szCs w:val="22"/>
          <w:lang w:eastAsia="en-GB"/>
        </w:rPr>
        <w:t xml:space="preserve"> of GF with a few being partially made of CF</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 xml:space="preserve">(hybrid). Limited by the high cost of </w:t>
      </w:r>
      <w:r w:rsidR="00392B03">
        <w:rPr>
          <w:rFonts w:ascii="Helvetica" w:eastAsia="Times New Roman" w:hAnsi="Helvetica" w:cs="Times New Roman"/>
          <w:sz w:val="22"/>
          <w:szCs w:val="22"/>
          <w:lang w:eastAsia="en-GB"/>
        </w:rPr>
        <w:lastRenderedPageBreak/>
        <w:t>CF</w:t>
      </w:r>
      <w:r w:rsidRPr="00B44120">
        <w:rPr>
          <w:rFonts w:ascii="Helvetica" w:eastAsia="Times New Roman" w:hAnsi="Helvetica" w:cs="Times New Roman"/>
          <w:sz w:val="22"/>
          <w:szCs w:val="22"/>
          <w:lang w:eastAsia="en-GB"/>
        </w:rPr>
        <w:t xml:space="preserve">, entire </w:t>
      </w:r>
      <w:r w:rsidR="00392B03">
        <w:rPr>
          <w:rFonts w:ascii="Helvetica" w:eastAsia="Times New Roman" w:hAnsi="Helvetica" w:cs="Times New Roman"/>
          <w:sz w:val="22"/>
          <w:szCs w:val="22"/>
          <w:lang w:eastAsia="en-GB"/>
        </w:rPr>
        <w:t>CF</w:t>
      </w:r>
      <w:r w:rsidR="00392B03"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blades are quite rare. There was a</w:t>
      </w:r>
      <w:r w:rsidR="00860AD9">
        <w:rPr>
          <w:rFonts w:ascii="Helvetica" w:eastAsia="Times New Roman" w:hAnsi="Helvetica" w:cs="Times New Roman"/>
          <w:sz w:val="22"/>
          <w:szCs w:val="22"/>
          <w:lang w:eastAsia="en-GB"/>
        </w:rPr>
        <w:t xml:space="preserve"> few years ago a</w:t>
      </w:r>
      <w:r w:rsidRPr="00B44120">
        <w:rPr>
          <w:rFonts w:ascii="Helvetica" w:eastAsia="Times New Roman" w:hAnsi="Helvetica" w:cs="Times New Roman"/>
          <w:sz w:val="22"/>
          <w:szCs w:val="22"/>
          <w:lang w:eastAsia="en-GB"/>
        </w:rPr>
        <w:t xml:space="preserve"> trend for more CF to be used in wind turbine blades</w:t>
      </w:r>
      <w:r w:rsidR="00D15964">
        <w:rPr>
          <w:rFonts w:ascii="Helvetica" w:eastAsia="Times New Roman" w:hAnsi="Helvetica" w:cs="Times New Roman"/>
          <w:sz w:val="22"/>
          <w:szCs w:val="22"/>
          <w:lang w:eastAsia="en-GB"/>
        </w:rPr>
        <w:t>,</w:t>
      </w:r>
      <w:r w:rsidRPr="00B44120">
        <w:rPr>
          <w:rFonts w:ascii="Helvetica" w:eastAsia="Times New Roman" w:hAnsi="Helvetica" w:cs="Times New Roman"/>
          <w:sz w:val="22"/>
          <w:szCs w:val="22"/>
          <w:lang w:eastAsia="en-GB"/>
        </w:rPr>
        <w:t xml:space="preserve"> and </w:t>
      </w:r>
      <w:r w:rsidR="009B55C3">
        <w:rPr>
          <w:rFonts w:ascii="Helvetica" w:eastAsia="Times New Roman" w:hAnsi="Helvetica" w:cs="Times New Roman"/>
          <w:sz w:val="22"/>
          <w:szCs w:val="22"/>
          <w:lang w:eastAsia="en-GB"/>
        </w:rPr>
        <w:t>while</w:t>
      </w:r>
      <w:r w:rsidR="009B55C3"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there has been much debate there is</w:t>
      </w:r>
      <w:r w:rsidR="006923BB">
        <w:rPr>
          <w:rFonts w:ascii="Helvetica" w:eastAsia="Times New Roman" w:hAnsi="Helvetica" w:cs="Times New Roman"/>
          <w:sz w:val="22"/>
          <w:szCs w:val="22"/>
          <w:lang w:eastAsia="en-GB"/>
        </w:rPr>
        <w:t xml:space="preserve"> no</w:t>
      </w:r>
      <w:r w:rsidRPr="00B44120">
        <w:rPr>
          <w:rFonts w:ascii="Helvetica" w:eastAsia="Times New Roman" w:hAnsi="Helvetica" w:cs="Times New Roman"/>
          <w:sz w:val="22"/>
          <w:szCs w:val="22"/>
          <w:lang w:eastAsia="en-GB"/>
        </w:rPr>
        <w:t xml:space="preserve"> </w:t>
      </w:r>
      <w:r w:rsidR="006923BB">
        <w:rPr>
          <w:rFonts w:ascii="Helvetica" w:eastAsia="Times New Roman" w:hAnsi="Helvetica" w:cs="Times New Roman"/>
          <w:sz w:val="22"/>
          <w:szCs w:val="22"/>
          <w:lang w:eastAsia="en-GB"/>
        </w:rPr>
        <w:t>indication</w:t>
      </w:r>
      <w:r w:rsidRPr="00B44120">
        <w:rPr>
          <w:rFonts w:ascii="Helvetica" w:eastAsia="Times New Roman" w:hAnsi="Helvetica" w:cs="Times New Roman"/>
          <w:sz w:val="22"/>
          <w:szCs w:val="22"/>
          <w:lang w:eastAsia="en-GB"/>
        </w:rPr>
        <w:t xml:space="preserve"> that the use of CF </w:t>
      </w:r>
      <w:r w:rsidR="00545B70">
        <w:rPr>
          <w:rFonts w:ascii="Helvetica" w:eastAsia="Times New Roman" w:hAnsi="Helvetica" w:cs="Times New Roman"/>
          <w:sz w:val="22"/>
          <w:szCs w:val="22"/>
          <w:lang w:eastAsia="en-GB"/>
        </w:rPr>
        <w:t xml:space="preserve">in </w:t>
      </w:r>
      <w:r w:rsidR="00860AD9">
        <w:rPr>
          <w:rFonts w:ascii="Helvetica" w:eastAsia="Times New Roman" w:hAnsi="Helvetica" w:cs="Times New Roman"/>
          <w:sz w:val="22"/>
          <w:szCs w:val="22"/>
          <w:lang w:eastAsia="en-GB"/>
        </w:rPr>
        <w:t xml:space="preserve">current </w:t>
      </w:r>
      <w:r w:rsidR="00545B70">
        <w:rPr>
          <w:rFonts w:ascii="Helvetica" w:eastAsia="Times New Roman" w:hAnsi="Helvetica" w:cs="Times New Roman"/>
          <w:sz w:val="22"/>
          <w:szCs w:val="22"/>
          <w:lang w:eastAsia="en-GB"/>
        </w:rPr>
        <w:t>WT blades has increased</w:t>
      </w:r>
      <w:r w:rsidRPr="00B44120">
        <w:rPr>
          <w:rFonts w:ascii="Helvetica" w:eastAsia="Times New Roman" w:hAnsi="Helvetica" w:cs="Times New Roman"/>
          <w:sz w:val="22"/>
          <w:szCs w:val="22"/>
          <w:lang w:eastAsia="en-GB"/>
        </w:rPr>
        <w:t xml:space="preserv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{"citationItems":[{"id":"ITEM-1","itemData":{"DOI":"10.1016/j.rser.2015.09.080","ISSN":"18790690","abstract":"The so-called 20-20-20 targets for the European Union include a reduction in greenhouse gas emissions by 20% compared to 1990, 20% of primary energy from renewables, and a 20% reduction in primary energy demand through energy efficiency by 2020. Wind energy has played and will continue to play a significant role in progress towards meeting these goals; in 2012 it accounted for around 7% of total European electricity consumption. Against the background of the recent trend towards ever larger wind turbines at higher hub heights, this contribution explores the challenges to and prospects for a continued up-sizing of wind turbines in the future. Based on a literature review and interviews with experts in the European wind industry, the key challenges for large onshore wind turbines are identified and qualitatively analyzed in a European context. Further developments of large wind turbines depend on several components and related challenges rather than just one. The main challenges are thought to be related to social acceptance, the logistics of transport and erection, and the medium term sustainability of the political and economic support for wind energy. It seems likely that social acceptance will center around the issue of aerodynamic noise and the allowed distance from the turbine, although further research is required to fully understand the public perception of especially large wind power plants. In addition, the sheer size of larger wind turbines in the future presents significant challenges in terms of the materials and structures employed. There is little consensus on the likely development of drive train technologies, though a slight tendency towards direct drive systems with permanent magnet generators as well as multi-stage gearboxes was encountered, which could also serve to improve reliability. For the rotor blades, a trend towards fully carbon fiber blades is expected, and towers will continue to be constructed from steel and/or concrete, albeit both of these components increasingly in the form a modular construction.","author":[{"dropping-particle":"","family":"McKenna","given":"R.","non-dropping-particle":"","parse-names":false,"suffix":""},{"dropping-particle":"","family":"Ostman V.d. Leye","given":"P.","non-dropping-particle":"","parse-names":false,"suffix":""},{"dropping-particle":"","family":"Fichtner","given":"W.","non-dropping-particle":"","parse-names":false,"suffix":""}],"container-title":"Renewable and Sustainable Energy Reviews","id":"ITEM-1","issued":{"date-parts":[["2016"]]},"page":"1212-1221","publisher":"Elsevier","title":"Key challenges and prospects for large wind turbines","type":"article-journal","volume":"53"},"uris":["http://www.mendeley.com/documents/?uuid=3bc0e175-d418-4690-8047-27c8dd304ebe"]},{"id":"ITEM-2","itemData":{"DOI":"10.1016/j.wasman.2017.02.007","ISSN":"0956-053X","author":[{"dropping-particle":"","family":"Liu","given":"Pu","non-dropping-particle":"","parse-names":false,"suffix":""},{"dropping-particle":"","family":"Barlow","given":"Claire Y","non-dropping-particle":"","parse-names":false,"suffix":""}],"container-title":"Waste Management","id":"ITEM-2","issued":{"date-parts":[["2017"]]},"title":"Wind turbine blade waste in 2050","type":"article-journal"},"uris":["http://www.mendeley.com/documents/?uuid=ffb74b6c-2307-4787-ba09-5aca4affa382"]}],"mendeley":{"formattedCitation":"(Liu and Barlow, 2017; McKenna et al., 2016)","plainTextFormattedCitation":"(Liu and Barlow, 2017; McKenna et al., 2016)","previouslyFormattedCitation":"(Liu and Barlow, 2017; McKenna et al., 2016)"},"properties":{"noteIndex":0},"schema":"https://github.com/citation-style-language/schema/raw/master/csl-citation.json"}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(Liu and Barlow, 2017; McKenna et al., 2016)</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In order to </w:t>
      </w:r>
      <w:r w:rsidR="00860AD9">
        <w:rPr>
          <w:rFonts w:ascii="Helvetica" w:eastAsia="Times New Roman" w:hAnsi="Helvetica" w:cs="Times New Roman"/>
          <w:sz w:val="22"/>
          <w:szCs w:val="22"/>
          <w:lang w:eastAsia="en-GB"/>
        </w:rPr>
        <w:t>allow comprehensive coverage of</w:t>
      </w:r>
      <w:r w:rsidRPr="00B44120">
        <w:rPr>
          <w:rFonts w:ascii="Helvetica" w:eastAsia="Times New Roman" w:hAnsi="Helvetica" w:cs="Times New Roman"/>
          <w:sz w:val="22"/>
          <w:szCs w:val="22"/>
          <w:lang w:eastAsia="en-GB"/>
        </w:rPr>
        <w:t xml:space="preserve"> </w:t>
      </w:r>
      <w:proofErr w:type="spellStart"/>
      <w:r w:rsidRPr="00B44120">
        <w:rPr>
          <w:rFonts w:ascii="Helvetica" w:eastAsia="Times New Roman" w:hAnsi="Helvetica" w:cs="Times New Roman"/>
          <w:sz w:val="22"/>
          <w:szCs w:val="22"/>
          <w:lang w:eastAsia="en-GB"/>
        </w:rPr>
        <w:t>EoL</w:t>
      </w:r>
      <w:proofErr w:type="spellEnd"/>
      <w:r w:rsidRPr="00B44120">
        <w:rPr>
          <w:rFonts w:ascii="Helvetica" w:eastAsia="Times New Roman" w:hAnsi="Helvetica" w:cs="Times New Roman"/>
          <w:sz w:val="22"/>
          <w:szCs w:val="22"/>
          <w:lang w:eastAsia="en-GB"/>
        </w:rPr>
        <w:t xml:space="preserve"> options, three </w:t>
      </w:r>
      <w:r w:rsidR="00567783">
        <w:rPr>
          <w:rFonts w:ascii="Helvetica" w:eastAsia="Times New Roman" w:hAnsi="Helvetica" w:cs="Times New Roman"/>
          <w:sz w:val="22"/>
          <w:szCs w:val="22"/>
          <w:lang w:eastAsia="en-GB"/>
        </w:rPr>
        <w:t xml:space="preserve">similar-size </w:t>
      </w:r>
      <w:r w:rsidRPr="00B44120">
        <w:rPr>
          <w:rFonts w:ascii="Helvetica" w:eastAsia="Times New Roman" w:hAnsi="Helvetica" w:cs="Times New Roman"/>
          <w:sz w:val="22"/>
          <w:szCs w:val="22"/>
          <w:lang w:eastAsia="en-GB"/>
        </w:rPr>
        <w:t>blade</w:t>
      </w:r>
      <w:r w:rsidR="00567783">
        <w:rPr>
          <w:rFonts w:ascii="Helvetica" w:eastAsia="Times New Roman" w:hAnsi="Helvetica" w:cs="Times New Roman"/>
          <w:sz w:val="22"/>
          <w:szCs w:val="22"/>
          <w:lang w:eastAsia="en-GB"/>
        </w:rPr>
        <w:t>s of different</w:t>
      </w:r>
      <w:r w:rsidRPr="00B44120">
        <w:rPr>
          <w:rFonts w:ascii="Helvetica" w:eastAsia="Times New Roman" w:hAnsi="Helvetica" w:cs="Times New Roman"/>
          <w:sz w:val="22"/>
          <w:szCs w:val="22"/>
          <w:lang w:eastAsia="en-GB"/>
        </w:rPr>
        <w:t xml:space="preserve"> types have been analysed</w:t>
      </w:r>
      <w:r w:rsidR="0051099B">
        <w:rPr>
          <w:rFonts w:ascii="Helvetica" w:eastAsia="Times New Roman" w:hAnsi="Helvetica" w:cs="Times New Roman"/>
          <w:sz w:val="22"/>
          <w:szCs w:val="22"/>
          <w:lang w:eastAsia="en-GB"/>
        </w:rPr>
        <w:t xml:space="preserve"> as shown in Table 1</w:t>
      </w:r>
      <w:r w:rsidRPr="00B44120">
        <w:rPr>
          <w:rFonts w:ascii="Helvetica" w:eastAsia="Times New Roman" w:hAnsi="Helvetica" w:cs="Times New Roman"/>
          <w:sz w:val="22"/>
          <w:szCs w:val="22"/>
          <w:lang w:eastAsia="en-GB"/>
        </w:rPr>
        <w:t xml:space="preserve">. </w:t>
      </w:r>
      <w:r w:rsidR="00567783">
        <w:rPr>
          <w:rFonts w:ascii="Helvetica" w:eastAsia="Times New Roman" w:hAnsi="Helvetica" w:cs="Times New Roman"/>
          <w:sz w:val="22"/>
          <w:szCs w:val="22"/>
          <w:lang w:eastAsia="en-GB"/>
        </w:rPr>
        <w:t>C</w:t>
      </w:r>
      <w:r w:rsidR="0051099B">
        <w:rPr>
          <w:rFonts w:ascii="Helvetica" w:eastAsia="Times New Roman" w:hAnsi="Helvetica" w:cs="Times New Roman"/>
          <w:sz w:val="22"/>
          <w:szCs w:val="22"/>
          <w:lang w:eastAsia="en-GB"/>
        </w:rPr>
        <w:t xml:space="preserve">ommercial </w:t>
      </w:r>
      <w:r w:rsidRPr="00B44120">
        <w:rPr>
          <w:rFonts w:ascii="Helvetica" w:eastAsia="Times New Roman" w:hAnsi="Helvetica" w:cs="Times New Roman"/>
          <w:sz w:val="22"/>
          <w:szCs w:val="22"/>
          <w:lang w:eastAsia="en-GB"/>
        </w:rPr>
        <w:t>blades</w:t>
      </w:r>
      <w:r w:rsidR="00567783">
        <w:rPr>
          <w:rFonts w:ascii="Helvetica" w:eastAsia="Times New Roman" w:hAnsi="Helvetica" w:cs="Times New Roman"/>
          <w:sz w:val="22"/>
          <w:szCs w:val="22"/>
          <w:lang w:eastAsia="en-GB"/>
        </w:rPr>
        <w:t xml:space="preserve"> from the same manufacturer</w:t>
      </w:r>
      <w:r w:rsidR="00BB0729">
        <w:rPr>
          <w:rFonts w:ascii="Helvetica" w:eastAsia="Times New Roman" w:hAnsi="Helvetica" w:cs="Times New Roman"/>
          <w:sz w:val="22"/>
          <w:szCs w:val="22"/>
          <w:lang w:eastAsia="en-GB"/>
        </w:rPr>
        <w:t xml:space="preserve"> are </w:t>
      </w:r>
      <w:r w:rsidR="007C60B7">
        <w:rPr>
          <w:rFonts w:ascii="Helvetica" w:eastAsia="Times New Roman" w:hAnsi="Helvetica" w:cs="Times New Roman"/>
          <w:sz w:val="22"/>
          <w:szCs w:val="22"/>
          <w:lang w:eastAsia="en-GB"/>
        </w:rPr>
        <w:t>used for GF and Hybrid</w:t>
      </w:r>
      <w:r w:rsidR="00BB0729">
        <w:rPr>
          <w:rFonts w:ascii="Helvetica" w:eastAsia="Times New Roman" w:hAnsi="Helvetica" w:cs="Times New Roman"/>
          <w:sz w:val="22"/>
          <w:szCs w:val="22"/>
          <w:lang w:eastAsia="en-GB"/>
        </w:rPr>
        <w:t xml:space="preserve">, </w:t>
      </w:r>
      <w:r w:rsidR="00567783">
        <w:rPr>
          <w:rFonts w:ascii="Helvetica" w:eastAsia="Times New Roman" w:hAnsi="Helvetica" w:cs="Times New Roman"/>
          <w:sz w:val="22"/>
          <w:szCs w:val="22"/>
          <w:lang w:eastAsia="en-GB"/>
        </w:rPr>
        <w:t xml:space="preserve">together </w:t>
      </w:r>
      <w:r w:rsidR="00BB0729">
        <w:rPr>
          <w:rFonts w:ascii="Helvetica" w:eastAsia="Times New Roman" w:hAnsi="Helvetica" w:cs="Times New Roman"/>
          <w:sz w:val="22"/>
          <w:szCs w:val="22"/>
          <w:lang w:eastAsia="en-GB"/>
        </w:rPr>
        <w:t>with a hypothetical</w:t>
      </w:r>
      <w:r w:rsidRPr="00B44120">
        <w:rPr>
          <w:rFonts w:ascii="Helvetica" w:eastAsia=".Apple Color Emoji UI" w:hAnsi="Helvetica" w:cs="Times New Roman"/>
          <w:sz w:val="22"/>
          <w:szCs w:val="22"/>
          <w:lang w:eastAsia="en-GB"/>
        </w:rPr>
        <w:t xml:space="preserve"> CF blade</w:t>
      </w:r>
      <w:r w:rsidR="00567783">
        <w:rPr>
          <w:rFonts w:ascii="Helvetica" w:eastAsia=".Apple Color Emoji UI" w:hAnsi="Helvetica" w:cs="Times New Roman"/>
          <w:sz w:val="22"/>
          <w:szCs w:val="22"/>
          <w:lang w:eastAsia="en-GB"/>
        </w:rPr>
        <w:t xml:space="preserve"> modelled on the hybrid blade</w:t>
      </w:r>
      <w:r w:rsidRPr="00B44120">
        <w:rPr>
          <w:rFonts w:ascii="Helvetica" w:eastAsia=".Apple Color Emoji UI" w:hAnsi="Helvetica" w:cs="Times New Roman"/>
          <w:sz w:val="22"/>
          <w:szCs w:val="22"/>
          <w:lang w:eastAsia="en-GB"/>
        </w:rPr>
        <w:t xml:space="preserve">. </w:t>
      </w:r>
      <w:r w:rsidR="00CC347B">
        <w:rPr>
          <w:rFonts w:ascii="Helvetica" w:eastAsia=".Apple Color Emoji UI" w:hAnsi="Helvetica" w:cs="Times New Roman"/>
          <w:sz w:val="22"/>
          <w:szCs w:val="22"/>
          <w:lang w:eastAsia="en-GB"/>
        </w:rPr>
        <w:t>For the CF blade, t</w:t>
      </w:r>
      <w:r w:rsidR="007A6419">
        <w:rPr>
          <w:rFonts w:ascii="Helvetica" w:eastAsia=".Apple Color Emoji UI" w:hAnsi="Helvetica" w:cs="Times New Roman"/>
          <w:sz w:val="22"/>
          <w:szCs w:val="22"/>
          <w:lang w:eastAsia="en-GB"/>
        </w:rPr>
        <w:t xml:space="preserve">he same </w:t>
      </w:r>
      <w:r w:rsidR="00CC347B">
        <w:rPr>
          <w:rFonts w:ascii="Helvetica" w:eastAsia=".Apple Color Emoji UI" w:hAnsi="Helvetica" w:cs="Times New Roman"/>
          <w:sz w:val="22"/>
          <w:szCs w:val="22"/>
          <w:lang w:eastAsia="en-GB"/>
        </w:rPr>
        <w:t xml:space="preserve">material weight </w:t>
      </w:r>
      <w:r w:rsidR="007A6419">
        <w:rPr>
          <w:rFonts w:ascii="Helvetica" w:eastAsia=".Apple Color Emoji UI" w:hAnsi="Helvetica" w:cs="Times New Roman"/>
          <w:sz w:val="22"/>
          <w:szCs w:val="22"/>
          <w:lang w:eastAsia="en-GB"/>
        </w:rPr>
        <w:t xml:space="preserve">values </w:t>
      </w:r>
      <w:r w:rsidR="00CC347B">
        <w:rPr>
          <w:rFonts w:ascii="Helvetica" w:eastAsia=".Apple Color Emoji UI" w:hAnsi="Helvetica" w:cs="Times New Roman"/>
          <w:sz w:val="22"/>
          <w:szCs w:val="22"/>
          <w:lang w:eastAsia="en-GB"/>
        </w:rPr>
        <w:t xml:space="preserve">of the hybrid blade </w:t>
      </w:r>
      <w:r w:rsidR="007A6419">
        <w:rPr>
          <w:rFonts w:ascii="Helvetica" w:eastAsia=".Apple Color Emoji UI" w:hAnsi="Helvetica" w:cs="Times New Roman"/>
          <w:sz w:val="22"/>
          <w:szCs w:val="22"/>
          <w:lang w:eastAsia="en-GB"/>
        </w:rPr>
        <w:t>are used for r</w:t>
      </w:r>
      <w:r w:rsidR="007A6419" w:rsidRPr="00B44120">
        <w:rPr>
          <w:rFonts w:ascii="Helvetica" w:eastAsia=".Apple Color Emoji UI" w:hAnsi="Helvetica" w:cs="Times New Roman"/>
          <w:sz w:val="22"/>
          <w:szCs w:val="22"/>
          <w:lang w:eastAsia="en-GB"/>
        </w:rPr>
        <w:t>esin, supporting material and manufacturing consumables</w:t>
      </w:r>
      <w:r w:rsidR="007A6419">
        <w:rPr>
          <w:rFonts w:ascii="Helvetica" w:eastAsia=".Apple Color Emoji UI" w:hAnsi="Helvetica" w:cs="Times New Roman"/>
          <w:sz w:val="22"/>
          <w:szCs w:val="22"/>
          <w:lang w:eastAsia="en-GB"/>
        </w:rPr>
        <w:t>, and the density ratio used to estimate the weight, substituting CF for GF.</w:t>
      </w:r>
    </w:p>
    <w:tbl>
      <w:tblPr>
        <w:tblStyle w:val="Thesis"/>
        <w:tblW w:w="0" w:type="auto"/>
        <w:tblLook w:val="04A0" w:firstRow="1" w:lastRow="0" w:firstColumn="1" w:lastColumn="0" w:noHBand="0" w:noVBand="1"/>
      </w:tblPr>
      <w:tblGrid>
        <w:gridCol w:w="2132"/>
        <w:gridCol w:w="2296"/>
        <w:gridCol w:w="2296"/>
        <w:gridCol w:w="2296"/>
      </w:tblGrid>
      <w:tr w:rsidR="00B44120" w:rsidRPr="002A6DBD" w14:paraId="44210935" w14:textId="77777777">
        <w:trPr>
          <w:cnfStyle w:val="100000000000" w:firstRow="1" w:lastRow="0" w:firstColumn="0" w:lastColumn="0" w:oddVBand="0" w:evenVBand="0" w:oddHBand="0" w:evenHBand="0" w:firstRowFirstColumn="0" w:firstRowLastColumn="0" w:lastRowFirstColumn="0" w:lastRowLastColumn="0"/>
        </w:trPr>
        <w:tc>
          <w:tcPr>
            <w:tcW w:w="2144" w:type="dxa"/>
          </w:tcPr>
          <w:p w14:paraId="317C3179"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Model</w:t>
            </w:r>
          </w:p>
        </w:tc>
        <w:tc>
          <w:tcPr>
            <w:tcW w:w="2309" w:type="dxa"/>
          </w:tcPr>
          <w:p w14:paraId="0482C966" w14:textId="26CEB430" w:rsidR="00B44120" w:rsidRPr="002A6DBD" w:rsidRDefault="00B44120" w:rsidP="00C85568">
            <w:pPr>
              <w:tabs>
                <w:tab w:val="left" w:pos="851"/>
              </w:tabs>
              <w:spacing w:before="120" w:line="276" w:lineRule="auto"/>
              <w:jc w:val="center"/>
              <w:rPr>
                <w:rFonts w:eastAsia="Times New Roman"/>
              </w:rPr>
            </w:pPr>
            <w:r w:rsidRPr="002A6DBD">
              <w:rPr>
                <w:rFonts w:eastAsia="Times New Roman"/>
              </w:rPr>
              <w:t>GF blade</w:t>
            </w:r>
            <w:r w:rsidR="0051099B">
              <w:rPr>
                <w:rFonts w:eastAsia="Times New Roman"/>
              </w:rPr>
              <w:t xml:space="preserve"> (Manufacturer A)</w:t>
            </w:r>
          </w:p>
        </w:tc>
        <w:tc>
          <w:tcPr>
            <w:tcW w:w="2309" w:type="dxa"/>
          </w:tcPr>
          <w:p w14:paraId="28750AC0" w14:textId="4BB45D6E" w:rsidR="00B44120" w:rsidRPr="002A6DBD" w:rsidRDefault="00B44120" w:rsidP="00C85568">
            <w:pPr>
              <w:tabs>
                <w:tab w:val="left" w:pos="851"/>
              </w:tabs>
              <w:spacing w:before="120" w:line="276" w:lineRule="auto"/>
              <w:jc w:val="center"/>
              <w:rPr>
                <w:rFonts w:eastAsia="Times New Roman"/>
              </w:rPr>
            </w:pPr>
            <w:r w:rsidRPr="002A6DBD">
              <w:rPr>
                <w:rFonts w:eastAsia="Times New Roman"/>
              </w:rPr>
              <w:t>Hybrid blade</w:t>
            </w:r>
            <w:r w:rsidR="0051099B">
              <w:rPr>
                <w:rFonts w:eastAsia="Times New Roman"/>
              </w:rPr>
              <w:t xml:space="preserve"> (Manufacturer </w:t>
            </w:r>
            <w:r w:rsidR="00843ADC">
              <w:rPr>
                <w:rFonts w:eastAsia="Times New Roman"/>
              </w:rPr>
              <w:t>A</w:t>
            </w:r>
            <w:r w:rsidR="0051099B">
              <w:rPr>
                <w:rFonts w:eastAsia="Times New Roman"/>
              </w:rPr>
              <w:t>)</w:t>
            </w:r>
          </w:p>
        </w:tc>
        <w:tc>
          <w:tcPr>
            <w:tcW w:w="2310" w:type="dxa"/>
          </w:tcPr>
          <w:p w14:paraId="2D2A202C" w14:textId="77777777" w:rsidR="00B44120" w:rsidRPr="002A6DBD" w:rsidRDefault="00B44120" w:rsidP="00C85568">
            <w:pPr>
              <w:tabs>
                <w:tab w:val="left" w:pos="851"/>
              </w:tabs>
              <w:spacing w:before="120" w:line="276" w:lineRule="auto"/>
              <w:jc w:val="center"/>
              <w:rPr>
                <w:rFonts w:eastAsia="Times New Roman"/>
              </w:rPr>
            </w:pPr>
            <w:r w:rsidRPr="002A6DBD">
              <w:rPr>
                <w:rFonts w:eastAsia="Times New Roman"/>
              </w:rPr>
              <w:t>CF blade</w:t>
            </w:r>
            <w:r w:rsidR="0051099B">
              <w:rPr>
                <w:rFonts w:eastAsia="Times New Roman"/>
              </w:rPr>
              <w:t xml:space="preserve"> (Hypothetical)</w:t>
            </w:r>
          </w:p>
        </w:tc>
      </w:tr>
      <w:tr w:rsidR="00B44120" w:rsidRPr="002A6DBD" w14:paraId="4DD5E42A" w14:textId="77777777">
        <w:tc>
          <w:tcPr>
            <w:tcW w:w="2144" w:type="dxa"/>
          </w:tcPr>
          <w:p w14:paraId="426B0C32"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Material</w:t>
            </w:r>
          </w:p>
        </w:tc>
        <w:tc>
          <w:tcPr>
            <w:tcW w:w="2309" w:type="dxa"/>
          </w:tcPr>
          <w:p w14:paraId="1FBFC11E"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GF</w:t>
            </w:r>
          </w:p>
        </w:tc>
        <w:tc>
          <w:tcPr>
            <w:tcW w:w="2309" w:type="dxa"/>
          </w:tcPr>
          <w:p w14:paraId="1A606568"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CF spar cap</w:t>
            </w:r>
          </w:p>
          <w:p w14:paraId="7F1F0186"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GF for the rest</w:t>
            </w:r>
          </w:p>
        </w:tc>
        <w:tc>
          <w:tcPr>
            <w:tcW w:w="2310" w:type="dxa"/>
          </w:tcPr>
          <w:p w14:paraId="638A5B1A"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CF</w:t>
            </w:r>
          </w:p>
        </w:tc>
      </w:tr>
      <w:tr w:rsidR="00B44120" w:rsidRPr="002A6DBD" w14:paraId="430BDB44" w14:textId="77777777">
        <w:tc>
          <w:tcPr>
            <w:tcW w:w="2144" w:type="dxa"/>
          </w:tcPr>
          <w:p w14:paraId="219EF26E"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Length/m</w:t>
            </w:r>
          </w:p>
        </w:tc>
        <w:tc>
          <w:tcPr>
            <w:tcW w:w="2309" w:type="dxa"/>
          </w:tcPr>
          <w:p w14:paraId="69C73143"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45.2</w:t>
            </w:r>
          </w:p>
        </w:tc>
        <w:tc>
          <w:tcPr>
            <w:tcW w:w="2309" w:type="dxa"/>
          </w:tcPr>
          <w:p w14:paraId="19B9C63D"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45.3</w:t>
            </w:r>
          </w:p>
        </w:tc>
        <w:tc>
          <w:tcPr>
            <w:tcW w:w="2310" w:type="dxa"/>
          </w:tcPr>
          <w:p w14:paraId="06F6BF0C"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45.3</w:t>
            </w:r>
          </w:p>
        </w:tc>
      </w:tr>
      <w:tr w:rsidR="00B44120" w:rsidRPr="002A6DBD" w14:paraId="1D0DB793" w14:textId="77777777">
        <w:tc>
          <w:tcPr>
            <w:tcW w:w="2144" w:type="dxa"/>
          </w:tcPr>
          <w:p w14:paraId="38E7AA7A"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Rated Power/MW</w:t>
            </w:r>
          </w:p>
        </w:tc>
        <w:tc>
          <w:tcPr>
            <w:tcW w:w="2309" w:type="dxa"/>
          </w:tcPr>
          <w:p w14:paraId="2A83DDF1"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1.5</w:t>
            </w:r>
          </w:p>
        </w:tc>
        <w:tc>
          <w:tcPr>
            <w:tcW w:w="2309" w:type="dxa"/>
          </w:tcPr>
          <w:p w14:paraId="1FE6354D"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2.0</w:t>
            </w:r>
          </w:p>
        </w:tc>
        <w:tc>
          <w:tcPr>
            <w:tcW w:w="2310" w:type="dxa"/>
          </w:tcPr>
          <w:p w14:paraId="5D97A124"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2.0</w:t>
            </w:r>
          </w:p>
        </w:tc>
      </w:tr>
      <w:tr w:rsidR="00B44120" w:rsidRPr="002A6DBD" w14:paraId="56A258FD" w14:textId="77777777">
        <w:tc>
          <w:tcPr>
            <w:tcW w:w="2144" w:type="dxa"/>
          </w:tcPr>
          <w:p w14:paraId="32483F8C"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Weight/tonne</w:t>
            </w:r>
          </w:p>
        </w:tc>
        <w:tc>
          <w:tcPr>
            <w:tcW w:w="2309" w:type="dxa"/>
          </w:tcPr>
          <w:p w14:paraId="18BA99BB"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7.58</w:t>
            </w:r>
          </w:p>
        </w:tc>
        <w:tc>
          <w:tcPr>
            <w:tcW w:w="2309" w:type="dxa"/>
          </w:tcPr>
          <w:p w14:paraId="49A8536E"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7.50</w:t>
            </w:r>
          </w:p>
        </w:tc>
        <w:tc>
          <w:tcPr>
            <w:tcW w:w="2310" w:type="dxa"/>
          </w:tcPr>
          <w:p w14:paraId="59957B26"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6.24</w:t>
            </w:r>
          </w:p>
        </w:tc>
      </w:tr>
    </w:tbl>
    <w:p w14:paraId="1000EF25" w14:textId="2B965040" w:rsidR="00545B70" w:rsidRPr="00FF14B7" w:rsidRDefault="00B44120" w:rsidP="00B44120">
      <w:pPr>
        <w:tabs>
          <w:tab w:val="left" w:pos="851"/>
        </w:tabs>
        <w:spacing w:before="120" w:after="120"/>
        <w:rPr>
          <w:rFonts w:ascii="Calibri" w:eastAsia="Times New Roman" w:hAnsi="Calibri" w:cs="Calibri"/>
          <w:bCs/>
          <w:i/>
          <w:color w:val="44546A"/>
          <w:sz w:val="18"/>
          <w:szCs w:val="18"/>
          <w:lang w:eastAsia="en-GB"/>
        </w:rPr>
      </w:pPr>
      <w:bookmarkStart w:id="2" w:name="_Toc486169602"/>
      <w:r w:rsidRPr="002E6867">
        <w:rPr>
          <w:rFonts w:ascii="Calibri" w:eastAsia="Times New Roman" w:hAnsi="Calibri" w:cs="Calibri"/>
          <w:bCs/>
          <w:i/>
          <w:color w:val="44546A"/>
          <w:sz w:val="18"/>
          <w:szCs w:val="18"/>
          <w:lang w:eastAsia="en-GB"/>
        </w:rPr>
        <w:t xml:space="preserve">Table </w:t>
      </w:r>
      <w:r w:rsidR="00107EB7" w:rsidRPr="002E6867">
        <w:rPr>
          <w:rFonts w:ascii="Calibri" w:eastAsia="Times New Roman" w:hAnsi="Calibri" w:cs="Calibri"/>
          <w:bCs/>
          <w:i/>
          <w:color w:val="44546A"/>
          <w:sz w:val="18"/>
          <w:szCs w:val="18"/>
          <w:lang w:eastAsia="en-GB"/>
        </w:rPr>
        <w:fldChar w:fldCharType="begin"/>
      </w:r>
      <w:r w:rsidRPr="002E6867">
        <w:rPr>
          <w:rFonts w:ascii="Calibri" w:eastAsia="Times New Roman" w:hAnsi="Calibri" w:cs="Calibri"/>
          <w:bCs/>
          <w:i/>
          <w:color w:val="44546A"/>
          <w:sz w:val="18"/>
          <w:szCs w:val="18"/>
          <w:lang w:eastAsia="en-GB"/>
        </w:rPr>
        <w:instrText xml:space="preserve"> SEQ Table \* ARABIC </w:instrText>
      </w:r>
      <w:r w:rsidR="00107EB7" w:rsidRPr="002E6867">
        <w:rPr>
          <w:rFonts w:ascii="Calibri" w:eastAsia="Times New Roman" w:hAnsi="Calibri" w:cs="Calibri"/>
          <w:bCs/>
          <w:i/>
          <w:color w:val="44546A"/>
          <w:sz w:val="18"/>
          <w:szCs w:val="18"/>
          <w:lang w:eastAsia="en-GB"/>
        </w:rPr>
        <w:fldChar w:fldCharType="separate"/>
      </w:r>
      <w:r w:rsidR="00CB61A7">
        <w:rPr>
          <w:rFonts w:ascii="Calibri" w:eastAsia="Times New Roman" w:hAnsi="Calibri" w:cs="Calibri"/>
          <w:bCs/>
          <w:i/>
          <w:noProof/>
          <w:color w:val="44546A"/>
          <w:sz w:val="18"/>
          <w:szCs w:val="18"/>
          <w:lang w:eastAsia="en-GB"/>
        </w:rPr>
        <w:t>1</w:t>
      </w:r>
      <w:r w:rsidR="00107EB7" w:rsidRPr="002E6867">
        <w:rPr>
          <w:rFonts w:ascii="Calibri" w:eastAsia="Times New Roman" w:hAnsi="Calibri" w:cs="Calibri"/>
          <w:bCs/>
          <w:i/>
          <w:color w:val="44546A"/>
          <w:sz w:val="18"/>
          <w:szCs w:val="18"/>
          <w:lang w:eastAsia="en-GB"/>
        </w:rPr>
        <w:fldChar w:fldCharType="end"/>
      </w:r>
      <w:r w:rsidRPr="002E6867">
        <w:rPr>
          <w:rFonts w:ascii="Calibri" w:eastAsia="Times New Roman" w:hAnsi="Calibri" w:cs="Calibri"/>
          <w:bCs/>
          <w:i/>
          <w:color w:val="44546A"/>
          <w:sz w:val="18"/>
          <w:szCs w:val="18"/>
          <w:lang w:eastAsia="en-GB"/>
        </w:rPr>
        <w:t xml:space="preserve">: Blade model specification. GF blade is model 45.2A; Hybrid blade is DW93; both from </w:t>
      </w:r>
      <w:proofErr w:type="spellStart"/>
      <w:r w:rsidRPr="002E6867">
        <w:rPr>
          <w:rFonts w:ascii="Calibri" w:eastAsia="Times New Roman" w:hAnsi="Calibri" w:cs="Calibri"/>
          <w:bCs/>
          <w:i/>
          <w:color w:val="44546A"/>
          <w:sz w:val="18"/>
          <w:szCs w:val="18"/>
          <w:lang w:eastAsia="en-GB"/>
        </w:rPr>
        <w:t>Sinomatech</w:t>
      </w:r>
      <w:proofErr w:type="spellEnd"/>
      <w:r w:rsidRPr="002E6867">
        <w:rPr>
          <w:rFonts w:ascii="Calibri" w:eastAsia="Times New Roman" w:hAnsi="Calibri" w:cs="Calibri"/>
          <w:bCs/>
          <w:i/>
          <w:color w:val="44546A"/>
          <w:sz w:val="18"/>
          <w:szCs w:val="18"/>
          <w:lang w:eastAsia="en-GB"/>
        </w:rPr>
        <w:t>.</w:t>
      </w:r>
      <w:bookmarkEnd w:id="2"/>
    </w:p>
    <w:p w14:paraId="0EE32AF2" w14:textId="77777777" w:rsidR="00B44120" w:rsidRDefault="00624659" w:rsidP="00B44120">
      <w:pPr>
        <w:pStyle w:val="Heading2"/>
      </w:pPr>
      <w:r>
        <w:t>Lifetime environmental impact</w:t>
      </w:r>
    </w:p>
    <w:p w14:paraId="3BF34AD9" w14:textId="77777777" w:rsidR="00B44120" w:rsidRPr="00B44120" w:rsidRDefault="00F30676" w:rsidP="00B44120">
      <w:pPr>
        <w:tabs>
          <w:tab w:val="left" w:pos="851"/>
        </w:tabs>
        <w:spacing w:before="120" w:line="360" w:lineRule="auto"/>
        <w:rPr>
          <w:rFonts w:ascii="Helvetica" w:eastAsia="Times New Roman" w:hAnsi="Helvetica" w:cs="Times New Roman"/>
          <w:sz w:val="22"/>
          <w:szCs w:val="22"/>
          <w:lang w:eastAsia="en-GB"/>
        </w:rPr>
      </w:pPr>
      <w:r>
        <w:rPr>
          <w:rFonts w:ascii="Helvetica" w:eastAsia="Times New Roman" w:hAnsi="Helvetica" w:cs="Times New Roman"/>
          <w:sz w:val="22"/>
          <w:szCs w:val="22"/>
          <w:lang w:eastAsia="en-GB"/>
        </w:rPr>
        <w:t>T</w:t>
      </w:r>
      <w:r w:rsidR="00B44120" w:rsidRPr="00B44120">
        <w:rPr>
          <w:rFonts w:ascii="Helvetica" w:eastAsia="Times New Roman" w:hAnsi="Helvetica" w:cs="Times New Roman"/>
          <w:sz w:val="22"/>
          <w:szCs w:val="22"/>
          <w:lang w:eastAsia="en-GB"/>
        </w:rPr>
        <w:t>he blade lifetime environmental impact</w:t>
      </w:r>
      <w:r>
        <w:rPr>
          <w:rFonts w:ascii="Helvetica" w:eastAsia="Times New Roman" w:hAnsi="Helvetica" w:cs="Times New Roman"/>
          <w:sz w:val="22"/>
          <w:szCs w:val="22"/>
          <w:lang w:eastAsia="en-GB"/>
        </w:rPr>
        <w:t xml:space="preserve"> is calculated as outlined in </w:t>
      </w:r>
      <w:r w:rsidR="009B55C3">
        <w:rPr>
          <w:rFonts w:ascii="Helvetica" w:eastAsia="Times New Roman" w:hAnsi="Helvetica" w:cs="Times New Roman"/>
          <w:sz w:val="22"/>
          <w:szCs w:val="22"/>
          <w:lang w:eastAsia="en-GB"/>
        </w:rPr>
        <w:t xml:space="preserve">Section </w:t>
      </w:r>
      <w:r>
        <w:rPr>
          <w:rFonts w:ascii="Helvetica" w:eastAsia="Times New Roman" w:hAnsi="Helvetica" w:cs="Times New Roman"/>
          <w:sz w:val="22"/>
          <w:szCs w:val="22"/>
          <w:lang w:eastAsia="en-GB"/>
        </w:rPr>
        <w:t>2.1.</w:t>
      </w:r>
      <w:r w:rsidR="00B44120" w:rsidRPr="00B44120">
        <w:rPr>
          <w:rFonts w:ascii="Helvetica" w:eastAsia="Times New Roman" w:hAnsi="Helvetica" w:cs="Times New Roman"/>
          <w:sz w:val="22"/>
          <w:szCs w:val="22"/>
          <w:lang w:eastAsia="en-GB"/>
        </w:rPr>
        <w:t xml:space="preserve"> </w:t>
      </w:r>
      <w:r>
        <w:rPr>
          <w:rFonts w:ascii="Helvetica" w:eastAsia="Times New Roman" w:hAnsi="Helvetica" w:cs="Times New Roman"/>
          <w:sz w:val="22"/>
          <w:szCs w:val="22"/>
          <w:lang w:eastAsia="en-GB"/>
        </w:rPr>
        <w:t>T</w:t>
      </w:r>
      <w:r w:rsidR="00B44120" w:rsidRPr="00B44120">
        <w:rPr>
          <w:rFonts w:ascii="Helvetica" w:eastAsia="Times New Roman" w:hAnsi="Helvetica" w:cs="Times New Roman"/>
          <w:sz w:val="22"/>
          <w:szCs w:val="22"/>
          <w:lang w:eastAsia="en-GB"/>
        </w:rPr>
        <w:t xml:space="preserve">he manufacturing impact </w:t>
      </w:r>
      <w:r>
        <w:rPr>
          <w:rFonts w:ascii="Helvetica" w:eastAsia="Times New Roman" w:hAnsi="Helvetica" w:cs="Times New Roman"/>
          <w:sz w:val="22"/>
          <w:szCs w:val="22"/>
          <w:lang w:eastAsia="en-GB"/>
        </w:rPr>
        <w:t>uses</w:t>
      </w:r>
      <w:r w:rsidR="00B44120" w:rsidRPr="00B44120">
        <w:rPr>
          <w:rFonts w:ascii="Helvetica" w:eastAsia="Times New Roman" w:hAnsi="Helvetica" w:cs="Times New Roman"/>
          <w:sz w:val="22"/>
          <w:szCs w:val="22"/>
          <w:lang w:eastAsia="en-GB"/>
        </w:rPr>
        <w:t xml:space="preserve"> the </w:t>
      </w:r>
      <w:r>
        <w:rPr>
          <w:rFonts w:ascii="Helvetica" w:eastAsia="Times New Roman" w:hAnsi="Helvetica" w:cs="Times New Roman"/>
          <w:sz w:val="22"/>
          <w:szCs w:val="22"/>
          <w:lang w:eastAsia="en-GB"/>
        </w:rPr>
        <w:t>weight</w:t>
      </w:r>
      <w:r w:rsidRPr="00B44120">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sz w:val="22"/>
          <w:szCs w:val="22"/>
          <w:lang w:eastAsia="en-GB"/>
        </w:rPr>
        <w:t xml:space="preserve">of materials (kg) listed in </w:t>
      </w:r>
      <w:r>
        <w:rPr>
          <w:rFonts w:ascii="Helvetica" w:eastAsia="Times New Roman" w:hAnsi="Helvetica" w:cs="Times New Roman"/>
          <w:sz w:val="22"/>
          <w:szCs w:val="22"/>
          <w:lang w:eastAsia="en-GB"/>
        </w:rPr>
        <w:t xml:space="preserve">the </w:t>
      </w:r>
      <w:r w:rsidR="00B44120" w:rsidRPr="00BA5418">
        <w:rPr>
          <w:rFonts w:ascii="Helvetica" w:eastAsia="Times New Roman" w:hAnsi="Helvetica" w:cs="Times New Roman"/>
          <w:sz w:val="22"/>
          <w:szCs w:val="22"/>
          <w:lang w:eastAsia="en-GB"/>
        </w:rPr>
        <w:t xml:space="preserve">blade </w:t>
      </w:r>
      <w:r w:rsidR="002E6867" w:rsidRPr="00BA5418">
        <w:rPr>
          <w:rFonts w:ascii="Helvetica" w:hAnsi="Helvetica" w:cs="Times New Roman"/>
          <w:sz w:val="22"/>
          <w:szCs w:val="22"/>
        </w:rPr>
        <w:t>bill of materials (BoM)</w:t>
      </w:r>
      <w:r w:rsidR="00B44120" w:rsidRPr="00B44120">
        <w:rPr>
          <w:rFonts w:ascii="Helvetica" w:eastAsia="Times New Roman" w:hAnsi="Helvetica" w:cs="Times New Roman"/>
          <w:sz w:val="22"/>
          <w:szCs w:val="22"/>
          <w:lang w:eastAsia="en-GB"/>
        </w:rPr>
        <w:t xml:space="preserve"> combined with the unit embodied energy of each type of materi</w:t>
      </w:r>
      <w:r w:rsidR="00545B70">
        <w:rPr>
          <w:rFonts w:ascii="Helvetica" w:eastAsia="Times New Roman" w:hAnsi="Helvetica" w:cs="Times New Roman"/>
          <w:sz w:val="22"/>
          <w:szCs w:val="22"/>
          <w:lang w:eastAsia="en-GB"/>
        </w:rPr>
        <w:t xml:space="preserve">al (kJ/kg). As shown in Table </w:t>
      </w:r>
      <w:r w:rsidR="00B44120" w:rsidRPr="00B44120">
        <w:rPr>
          <w:rFonts w:ascii="Helvetica" w:eastAsia="Times New Roman" w:hAnsi="Helvetica" w:cs="Times New Roman"/>
          <w:sz w:val="22"/>
          <w:szCs w:val="22"/>
          <w:lang w:eastAsia="en-GB"/>
        </w:rPr>
        <w:t xml:space="preserve">2, the environment impact of GF, Hybrid and CF blades in the manufacture stage are 834.7 GJ, 1051.1 GJ and 1614.9 GJ, respectively. Because the unit impact of CF is 286 MJ/kg </w:t>
      </w:r>
      <w:r w:rsidR="00107EB7">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Suzuki","given":"Tetsuya","non-dropping-particle":"","parse-names":false,"suffix":""},{"dropping-particle":"","family":"Takahashi","given":"Jun","non-dropping-particle":"","parse-names":false,"suffix":""}],"container-title":"Japan International SAMPE Symposium JISSE-9","id":"ITEM-1","issued":{"date-parts":[["2005"]]},"page":"14-19","title":"Prediction of energy intensity of carbon fiber reinforced plastics for mass-produced passenger cars","type":"article-journal"},"uris":["http://www.mendeley.com/documents/?uuid=b52d38ad-b7ac-41b0-b4c7-e055e1dfb8a3"]}],"mendeley":{"formattedCitation":"(Suzuki and Takahashi, 2005)","plainTextFormattedCitation":"(Suzuki and Takahashi, 2005)","previouslyFormattedCitation":"(Suzuki and Takahashi, 2005)"},"properties":{"noteIndex":0},"schema":"https://github.com/citation-style-language/schema/raw/master/csl-citation.json"}</w:instrText>
      </w:r>
      <w:r w:rsidR="00107EB7">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(Suzuki and Takahashi, 2005)</w:t>
      </w:r>
      <w:r w:rsidR="00107EB7">
        <w:rPr>
          <w:rFonts w:ascii="Helvetica" w:eastAsia="Times New Roman" w:hAnsi="Helvetica" w:cs="Times New Roman"/>
          <w:sz w:val="22"/>
          <w:szCs w:val="22"/>
          <w:lang w:eastAsia="en-GB"/>
        </w:rPr>
        <w:fldChar w:fldCharType="end"/>
      </w:r>
      <w:r w:rsidR="003F094F">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sz w:val="22"/>
          <w:szCs w:val="22"/>
          <w:lang w:eastAsia="en-GB"/>
        </w:rPr>
        <w:t>which is much higher than the 52 MJ/kg of GF</w:t>
      </w:r>
      <w:r w:rsidR="003F094F">
        <w:rPr>
          <w:rFonts w:ascii="Helvetica" w:eastAsia="Times New Roman" w:hAnsi="Helvetica" w:cs="Times New Roman"/>
          <w:sz w:val="22"/>
          <w:szCs w:val="22"/>
          <w:lang w:eastAsia="en-GB"/>
        </w:rPr>
        <w:t xml:space="preserve"> </w:t>
      </w:r>
      <w:r w:rsidR="00107EB7">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{"citationItems":[{"id":"ITEM-1","itemData":{"author":[{"dropping-particle":"","family":"Granta Design","given":"","non-dropping-particle":"","parse-names":false,"suffix":""}],"id":"ITEM-1","issued":{"date-parts":[["2016"]]},"number":"2016","publisher":"Granta Design","title":"Eco-data in CES Eco-Selector 2016 database","type":"article"},"uris":["http://www.mendeley.com/documents/?uuid=9dbeb560-c35e-46e6-84a6-2a7ac501fb2c"]}],"mendeley":{"formattedCitation":"(Granta Design, 2016)","plainTextFormattedCitation":"(Granta Design, 2016)","previouslyFormattedCitation":"(Granta Design, 2016)"},"properties":{"noteIndex":0},"schema":"https://github.com/citation-style-language/schema/raw/master/csl-citation.json"}</w:instrText>
      </w:r>
      <w:r w:rsidR="00107EB7">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(Granta Design, 2016)</w:t>
      </w:r>
      <w:r w:rsidR="00107EB7">
        <w:rPr>
          <w:rFonts w:ascii="Helvetica" w:eastAsia="Times New Roman" w:hAnsi="Helvetica" w:cs="Times New Roman"/>
          <w:sz w:val="22"/>
          <w:szCs w:val="22"/>
          <w:lang w:eastAsia="en-GB"/>
        </w:rPr>
        <w:fldChar w:fldCharType="end"/>
      </w:r>
      <w:r w:rsidR="00B44120" w:rsidRPr="00B44120">
        <w:rPr>
          <w:rFonts w:ascii="Helvetica" w:eastAsia="Times New Roman" w:hAnsi="Helvetica" w:cs="Times New Roman"/>
          <w:sz w:val="22"/>
          <w:szCs w:val="22"/>
          <w:lang w:eastAsia="en-GB"/>
        </w:rPr>
        <w:t>, the impact of the hybrid blade is 30% higher than that of th</w:t>
      </w:r>
      <w:r w:rsidR="009E5587">
        <w:rPr>
          <w:rFonts w:ascii="Helvetica" w:eastAsia="Times New Roman" w:hAnsi="Helvetica" w:cs="Times New Roman"/>
          <w:sz w:val="22"/>
          <w:szCs w:val="22"/>
          <w:lang w:eastAsia="en-GB"/>
        </w:rPr>
        <w:t>e</w:t>
      </w:r>
      <w:r w:rsidR="00B44120" w:rsidRPr="00B44120">
        <w:rPr>
          <w:rFonts w:ascii="Helvetica" w:eastAsia="Times New Roman" w:hAnsi="Helvetica" w:cs="Times New Roman"/>
          <w:sz w:val="22"/>
          <w:szCs w:val="22"/>
          <w:lang w:eastAsia="en-GB"/>
        </w:rPr>
        <w:t xml:space="preserve"> GF blade and the impact of the CF blade is double that of the GF blade.</w:t>
      </w:r>
    </w:p>
    <w:p w14:paraId="7F8B44DD" w14:textId="60054C08" w:rsidR="00B865E3" w:rsidRDefault="00B865E3">
      <w:pPr>
        <w:jc w:val="left"/>
      </w:pPr>
      <w:r>
        <w:br w:type="page"/>
      </w:r>
    </w:p>
    <w:p w14:paraId="4642B841" w14:textId="77777777" w:rsidR="00C94F73" w:rsidRDefault="00C94F73" w:rsidP="00B44120">
      <w:pPr>
        <w:keepNext/>
        <w:tabs>
          <w:tab w:val="left" w:pos="851"/>
        </w:tabs>
        <w:spacing w:before="120" w:after="120"/>
      </w:pPr>
    </w:p>
    <w:tbl>
      <w:tblPr>
        <w:tblW w:w="90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77"/>
        <w:gridCol w:w="1323"/>
        <w:gridCol w:w="1084"/>
        <w:gridCol w:w="1106"/>
        <w:gridCol w:w="777"/>
        <w:gridCol w:w="1214"/>
        <w:gridCol w:w="853"/>
      </w:tblGrid>
      <w:tr w:rsidR="00C94F73" w:rsidRPr="00FF14B7" w14:paraId="32A46768" w14:textId="77777777" w:rsidTr="00C85568">
        <w:trPr>
          <w:trHeight w:val="267"/>
        </w:trPr>
        <w:tc>
          <w:tcPr>
            <w:tcW w:w="2677" w:type="dxa"/>
            <w:shd w:val="clear" w:color="auto" w:fill="auto"/>
            <w:noWrap/>
            <w:vAlign w:val="center"/>
          </w:tcPr>
          <w:p w14:paraId="1CDDD0EB" w14:textId="77777777" w:rsidR="00C94F73" w:rsidRPr="00FF14B7" w:rsidRDefault="00C94F73" w:rsidP="00C94F73">
            <w:pPr>
              <w:jc w:val="left"/>
              <w:rPr>
                <w:rFonts w:eastAsia="Times New Roman" w:cs="Times New Roman"/>
                <w:sz w:val="18"/>
                <w:szCs w:val="16"/>
                <w:lang w:eastAsia="zh-CN"/>
              </w:rPr>
            </w:pPr>
          </w:p>
        </w:tc>
        <w:tc>
          <w:tcPr>
            <w:tcW w:w="2407" w:type="dxa"/>
            <w:gridSpan w:val="2"/>
            <w:shd w:val="clear" w:color="auto" w:fill="auto"/>
            <w:noWrap/>
            <w:vAlign w:val="center"/>
          </w:tcPr>
          <w:p w14:paraId="04A479F4" w14:textId="77777777" w:rsidR="00C94F73" w:rsidRPr="00FF14B7" w:rsidRDefault="00C94F73" w:rsidP="00C94F73">
            <w:pPr>
              <w:jc w:val="center"/>
              <w:rPr>
                <w:rFonts w:eastAsia="Times New Roman" w:cs="Times New Roman"/>
                <w:b/>
                <w:bCs/>
                <w:color w:val="FA7D00"/>
                <w:sz w:val="18"/>
                <w:szCs w:val="16"/>
                <w:lang w:eastAsia="zh-CN"/>
              </w:rPr>
            </w:pPr>
            <w:r w:rsidRPr="00FF14B7">
              <w:rPr>
                <w:rFonts w:eastAsia="Times New Roman" w:cs="Times New Roman"/>
                <w:b/>
                <w:bCs/>
                <w:color w:val="FA7D00"/>
                <w:sz w:val="18"/>
                <w:szCs w:val="16"/>
                <w:lang w:eastAsia="zh-CN"/>
              </w:rPr>
              <w:t>GF blade</w:t>
            </w:r>
          </w:p>
        </w:tc>
        <w:tc>
          <w:tcPr>
            <w:tcW w:w="1883" w:type="dxa"/>
            <w:gridSpan w:val="2"/>
            <w:shd w:val="clear" w:color="auto" w:fill="auto"/>
            <w:noWrap/>
            <w:vAlign w:val="bottom"/>
          </w:tcPr>
          <w:p w14:paraId="34E72A0F" w14:textId="77777777" w:rsidR="00C94F73" w:rsidRPr="00FF14B7" w:rsidRDefault="00C94F73" w:rsidP="00C94F73">
            <w:pPr>
              <w:jc w:val="center"/>
              <w:rPr>
                <w:rFonts w:eastAsia="Times New Roman" w:cs="Times New Roman"/>
                <w:b/>
                <w:bCs/>
                <w:color w:val="FA7D00"/>
                <w:sz w:val="18"/>
                <w:szCs w:val="16"/>
                <w:lang w:eastAsia="zh-CN"/>
              </w:rPr>
            </w:pPr>
            <w:r w:rsidRPr="00FF14B7">
              <w:rPr>
                <w:rFonts w:eastAsia="Times New Roman" w:cs="Times New Roman"/>
                <w:b/>
                <w:bCs/>
                <w:color w:val="FA7D00"/>
                <w:sz w:val="18"/>
                <w:szCs w:val="16"/>
                <w:lang w:eastAsia="zh-CN"/>
              </w:rPr>
              <w:t>Hybrid blade</w:t>
            </w:r>
          </w:p>
        </w:tc>
        <w:tc>
          <w:tcPr>
            <w:tcW w:w="2067" w:type="dxa"/>
            <w:gridSpan w:val="2"/>
            <w:shd w:val="clear" w:color="auto" w:fill="auto"/>
            <w:noWrap/>
            <w:vAlign w:val="center"/>
          </w:tcPr>
          <w:p w14:paraId="23453F91" w14:textId="77777777" w:rsidR="00C94F73" w:rsidRPr="00FF14B7" w:rsidRDefault="00C94F73" w:rsidP="00C94F73">
            <w:pPr>
              <w:jc w:val="center"/>
              <w:rPr>
                <w:rFonts w:eastAsia="Times New Roman" w:cs="Times New Roman"/>
                <w:b/>
                <w:bCs/>
                <w:color w:val="FA7D00"/>
                <w:sz w:val="18"/>
                <w:szCs w:val="16"/>
                <w:lang w:eastAsia="zh-CN"/>
              </w:rPr>
            </w:pPr>
            <w:r w:rsidRPr="00FF14B7">
              <w:rPr>
                <w:rFonts w:eastAsia="Times New Roman" w:cs="Times New Roman"/>
                <w:b/>
                <w:bCs/>
                <w:color w:val="FA7D00"/>
                <w:sz w:val="18"/>
                <w:szCs w:val="16"/>
                <w:lang w:eastAsia="zh-CN"/>
              </w:rPr>
              <w:t>CF blade</w:t>
            </w:r>
          </w:p>
        </w:tc>
      </w:tr>
      <w:tr w:rsidR="00C94F73" w:rsidRPr="00FF14B7" w14:paraId="1F360FA7" w14:textId="77777777" w:rsidTr="00C85568">
        <w:trPr>
          <w:trHeight w:val="251"/>
        </w:trPr>
        <w:tc>
          <w:tcPr>
            <w:tcW w:w="2677" w:type="dxa"/>
            <w:shd w:val="clear" w:color="auto" w:fill="auto"/>
            <w:noWrap/>
            <w:vAlign w:val="center"/>
          </w:tcPr>
          <w:p w14:paraId="681FD06E"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In MJ</w:t>
            </w:r>
          </w:p>
        </w:tc>
        <w:tc>
          <w:tcPr>
            <w:tcW w:w="1323" w:type="dxa"/>
            <w:shd w:val="clear" w:color="auto" w:fill="auto"/>
            <w:noWrap/>
            <w:vAlign w:val="center"/>
          </w:tcPr>
          <w:p w14:paraId="278BE906"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Energy</w:t>
            </w:r>
          </w:p>
        </w:tc>
        <w:tc>
          <w:tcPr>
            <w:tcW w:w="1084" w:type="dxa"/>
            <w:shd w:val="clear" w:color="auto" w:fill="auto"/>
            <w:noWrap/>
            <w:vAlign w:val="center"/>
          </w:tcPr>
          <w:p w14:paraId="3D775595"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w:t>
            </w:r>
          </w:p>
        </w:tc>
        <w:tc>
          <w:tcPr>
            <w:tcW w:w="1106" w:type="dxa"/>
            <w:shd w:val="clear" w:color="auto" w:fill="auto"/>
            <w:noWrap/>
            <w:vAlign w:val="center"/>
          </w:tcPr>
          <w:p w14:paraId="261B1D22"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Energy</w:t>
            </w:r>
          </w:p>
        </w:tc>
        <w:tc>
          <w:tcPr>
            <w:tcW w:w="777" w:type="dxa"/>
            <w:shd w:val="clear" w:color="auto" w:fill="auto"/>
            <w:noWrap/>
            <w:vAlign w:val="center"/>
          </w:tcPr>
          <w:p w14:paraId="79395952"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w:t>
            </w:r>
          </w:p>
        </w:tc>
        <w:tc>
          <w:tcPr>
            <w:tcW w:w="1214" w:type="dxa"/>
            <w:shd w:val="clear" w:color="auto" w:fill="auto"/>
            <w:noWrap/>
            <w:vAlign w:val="center"/>
          </w:tcPr>
          <w:p w14:paraId="282492EE"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Energy</w:t>
            </w:r>
          </w:p>
        </w:tc>
        <w:tc>
          <w:tcPr>
            <w:tcW w:w="853" w:type="dxa"/>
            <w:shd w:val="clear" w:color="auto" w:fill="auto"/>
            <w:noWrap/>
            <w:vAlign w:val="center"/>
          </w:tcPr>
          <w:p w14:paraId="1E257CEB"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w:t>
            </w:r>
          </w:p>
        </w:tc>
      </w:tr>
      <w:tr w:rsidR="00C94F73" w:rsidRPr="00FF14B7" w14:paraId="39DB52AE" w14:textId="77777777" w:rsidTr="00C85568">
        <w:trPr>
          <w:trHeight w:val="267"/>
        </w:trPr>
        <w:tc>
          <w:tcPr>
            <w:tcW w:w="2677" w:type="dxa"/>
            <w:shd w:val="clear" w:color="auto" w:fill="auto"/>
            <w:noWrap/>
            <w:vAlign w:val="center"/>
          </w:tcPr>
          <w:p w14:paraId="780329B2"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 xml:space="preserve">CF </w:t>
            </w:r>
            <w:r w:rsidR="00F97657" w:rsidRPr="00FF14B7">
              <w:rPr>
                <w:rFonts w:eastAsia="Times New Roman" w:cs="Times New Roman"/>
                <w:color w:val="000000"/>
                <w:sz w:val="18"/>
                <w:szCs w:val="16"/>
                <w:lang w:eastAsia="zh-CN"/>
              </w:rPr>
              <w:t>unidirectional</w:t>
            </w:r>
          </w:p>
        </w:tc>
        <w:tc>
          <w:tcPr>
            <w:tcW w:w="1323" w:type="dxa"/>
            <w:shd w:val="clear" w:color="auto" w:fill="auto"/>
            <w:noWrap/>
            <w:vAlign w:val="center"/>
          </w:tcPr>
          <w:p w14:paraId="2C637C10"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w:t>
            </w:r>
          </w:p>
        </w:tc>
        <w:tc>
          <w:tcPr>
            <w:tcW w:w="1084" w:type="dxa"/>
            <w:vMerge w:val="restart"/>
            <w:shd w:val="clear" w:color="auto" w:fill="auto"/>
            <w:noWrap/>
            <w:vAlign w:val="center"/>
          </w:tcPr>
          <w:p w14:paraId="7F9B48F3"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40.4%</w:t>
            </w:r>
          </w:p>
        </w:tc>
        <w:tc>
          <w:tcPr>
            <w:tcW w:w="1106" w:type="dxa"/>
            <w:shd w:val="clear" w:color="auto" w:fill="auto"/>
            <w:noWrap/>
            <w:vAlign w:val="center"/>
          </w:tcPr>
          <w:p w14:paraId="034A9C00"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268840</w:t>
            </w:r>
          </w:p>
        </w:tc>
        <w:tc>
          <w:tcPr>
            <w:tcW w:w="777" w:type="dxa"/>
            <w:vMerge w:val="restart"/>
            <w:shd w:val="clear" w:color="auto" w:fill="auto"/>
            <w:noWrap/>
            <w:vAlign w:val="center"/>
          </w:tcPr>
          <w:p w14:paraId="604F5A14"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53.8%</w:t>
            </w:r>
          </w:p>
        </w:tc>
        <w:tc>
          <w:tcPr>
            <w:tcW w:w="1214" w:type="dxa"/>
            <w:shd w:val="clear" w:color="auto" w:fill="auto"/>
            <w:noWrap/>
            <w:vAlign w:val="center"/>
          </w:tcPr>
          <w:p w14:paraId="5F3FA64E"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1063904</w:t>
            </w:r>
          </w:p>
        </w:tc>
        <w:tc>
          <w:tcPr>
            <w:tcW w:w="853" w:type="dxa"/>
            <w:vMerge w:val="restart"/>
            <w:shd w:val="clear" w:color="auto" w:fill="auto"/>
            <w:noWrap/>
            <w:vAlign w:val="center"/>
          </w:tcPr>
          <w:p w14:paraId="27DBE48A"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71.9%</w:t>
            </w:r>
          </w:p>
        </w:tc>
      </w:tr>
      <w:tr w:rsidR="00C94F73" w:rsidRPr="00FF14B7" w14:paraId="3A2B6518" w14:textId="77777777" w:rsidTr="00C85568">
        <w:trPr>
          <w:trHeight w:val="267"/>
        </w:trPr>
        <w:tc>
          <w:tcPr>
            <w:tcW w:w="2677" w:type="dxa"/>
            <w:shd w:val="clear" w:color="auto" w:fill="auto"/>
            <w:noWrap/>
            <w:vAlign w:val="center"/>
          </w:tcPr>
          <w:p w14:paraId="2DFFC12B" w14:textId="77777777" w:rsidR="00C94F73" w:rsidRPr="00FF14B7" w:rsidRDefault="00C94F73" w:rsidP="00F97657">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 xml:space="preserve">GF </w:t>
            </w:r>
            <w:r w:rsidR="00F97657" w:rsidRPr="00FF14B7">
              <w:rPr>
                <w:rFonts w:eastAsia="Times New Roman" w:cs="Times New Roman"/>
                <w:color w:val="000000"/>
                <w:sz w:val="18"/>
                <w:szCs w:val="16"/>
                <w:lang w:eastAsia="zh-CN"/>
              </w:rPr>
              <w:t>unidirectional</w:t>
            </w:r>
          </w:p>
        </w:tc>
        <w:tc>
          <w:tcPr>
            <w:tcW w:w="1323" w:type="dxa"/>
            <w:shd w:val="clear" w:color="auto" w:fill="auto"/>
            <w:noWrap/>
            <w:vAlign w:val="center"/>
          </w:tcPr>
          <w:p w14:paraId="47A24DEF"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125528</w:t>
            </w:r>
          </w:p>
        </w:tc>
        <w:tc>
          <w:tcPr>
            <w:tcW w:w="1084" w:type="dxa"/>
            <w:vMerge/>
            <w:vAlign w:val="center"/>
          </w:tcPr>
          <w:p w14:paraId="3894B652" w14:textId="77777777" w:rsidR="00C94F73" w:rsidRPr="00FF14B7" w:rsidRDefault="00C94F73" w:rsidP="00C94F73">
            <w:pPr>
              <w:jc w:val="left"/>
              <w:rPr>
                <w:rFonts w:eastAsia="Times New Roman" w:cs="Times New Roman"/>
                <w:color w:val="000000"/>
                <w:sz w:val="18"/>
                <w:szCs w:val="16"/>
                <w:lang w:eastAsia="zh-CN"/>
              </w:rPr>
            </w:pPr>
          </w:p>
        </w:tc>
        <w:tc>
          <w:tcPr>
            <w:tcW w:w="1106" w:type="dxa"/>
            <w:shd w:val="clear" w:color="auto" w:fill="auto"/>
            <w:noWrap/>
            <w:vAlign w:val="center"/>
          </w:tcPr>
          <w:p w14:paraId="3C23423A"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w:t>
            </w:r>
          </w:p>
        </w:tc>
        <w:tc>
          <w:tcPr>
            <w:tcW w:w="777" w:type="dxa"/>
            <w:vMerge/>
            <w:vAlign w:val="center"/>
          </w:tcPr>
          <w:p w14:paraId="2FB08E20" w14:textId="77777777" w:rsidR="00C94F73" w:rsidRPr="00FF14B7" w:rsidRDefault="00C94F73" w:rsidP="00C94F73">
            <w:pPr>
              <w:jc w:val="left"/>
              <w:rPr>
                <w:rFonts w:eastAsia="Times New Roman" w:cs="Times New Roman"/>
                <w:color w:val="000000"/>
                <w:sz w:val="18"/>
                <w:szCs w:val="16"/>
                <w:lang w:eastAsia="zh-CN"/>
              </w:rPr>
            </w:pPr>
          </w:p>
        </w:tc>
        <w:tc>
          <w:tcPr>
            <w:tcW w:w="1214" w:type="dxa"/>
            <w:shd w:val="clear" w:color="auto" w:fill="auto"/>
            <w:noWrap/>
            <w:vAlign w:val="center"/>
          </w:tcPr>
          <w:p w14:paraId="23494069"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w:t>
            </w:r>
          </w:p>
        </w:tc>
        <w:tc>
          <w:tcPr>
            <w:tcW w:w="853" w:type="dxa"/>
            <w:vMerge/>
            <w:vAlign w:val="center"/>
          </w:tcPr>
          <w:p w14:paraId="4C38CD5E" w14:textId="77777777" w:rsidR="00C94F73" w:rsidRPr="00FF14B7" w:rsidRDefault="00C94F73" w:rsidP="00C94F73">
            <w:pPr>
              <w:jc w:val="left"/>
              <w:rPr>
                <w:rFonts w:eastAsia="Times New Roman" w:cs="Times New Roman"/>
                <w:color w:val="000000"/>
                <w:sz w:val="18"/>
                <w:szCs w:val="16"/>
                <w:lang w:eastAsia="zh-CN"/>
              </w:rPr>
            </w:pPr>
          </w:p>
        </w:tc>
      </w:tr>
      <w:tr w:rsidR="00C94F73" w:rsidRPr="00FF14B7" w14:paraId="540675EC" w14:textId="77777777" w:rsidTr="00C85568">
        <w:trPr>
          <w:trHeight w:val="267"/>
        </w:trPr>
        <w:tc>
          <w:tcPr>
            <w:tcW w:w="2677" w:type="dxa"/>
            <w:shd w:val="clear" w:color="auto" w:fill="auto"/>
            <w:noWrap/>
            <w:vAlign w:val="center"/>
          </w:tcPr>
          <w:p w14:paraId="2DD20A4F"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GF Bi/</w:t>
            </w:r>
            <w:proofErr w:type="spellStart"/>
            <w:r w:rsidRPr="00FF14B7">
              <w:rPr>
                <w:rFonts w:eastAsia="Times New Roman" w:cs="Times New Roman"/>
                <w:color w:val="000000"/>
                <w:sz w:val="18"/>
                <w:szCs w:val="16"/>
                <w:lang w:eastAsia="zh-CN"/>
              </w:rPr>
              <w:t>Triaxial</w:t>
            </w:r>
            <w:proofErr w:type="spellEnd"/>
            <w:r w:rsidRPr="00FF14B7">
              <w:rPr>
                <w:rFonts w:eastAsia="Times New Roman" w:cs="Times New Roman"/>
                <w:color w:val="000000"/>
                <w:sz w:val="18"/>
                <w:szCs w:val="16"/>
                <w:lang w:eastAsia="zh-CN"/>
              </w:rPr>
              <w:t xml:space="preserve"> fabric</w:t>
            </w:r>
          </w:p>
        </w:tc>
        <w:tc>
          <w:tcPr>
            <w:tcW w:w="1323" w:type="dxa"/>
            <w:shd w:val="clear" w:color="auto" w:fill="auto"/>
            <w:noWrap/>
            <w:vAlign w:val="center"/>
          </w:tcPr>
          <w:p w14:paraId="6DE24234"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160373</w:t>
            </w:r>
          </w:p>
        </w:tc>
        <w:tc>
          <w:tcPr>
            <w:tcW w:w="1084" w:type="dxa"/>
            <w:vMerge/>
            <w:vAlign w:val="center"/>
          </w:tcPr>
          <w:p w14:paraId="1C12A600" w14:textId="77777777" w:rsidR="00C94F73" w:rsidRPr="00FF14B7" w:rsidRDefault="00C94F73" w:rsidP="00C94F73">
            <w:pPr>
              <w:jc w:val="left"/>
              <w:rPr>
                <w:rFonts w:eastAsia="Times New Roman" w:cs="Times New Roman"/>
                <w:color w:val="000000"/>
                <w:sz w:val="18"/>
                <w:szCs w:val="16"/>
                <w:lang w:eastAsia="zh-CN"/>
              </w:rPr>
            </w:pPr>
          </w:p>
        </w:tc>
        <w:tc>
          <w:tcPr>
            <w:tcW w:w="1106" w:type="dxa"/>
            <w:shd w:val="clear" w:color="auto" w:fill="auto"/>
            <w:noWrap/>
            <w:vAlign w:val="center"/>
          </w:tcPr>
          <w:p w14:paraId="12771110"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217069</w:t>
            </w:r>
          </w:p>
        </w:tc>
        <w:tc>
          <w:tcPr>
            <w:tcW w:w="777" w:type="dxa"/>
            <w:vMerge/>
            <w:vAlign w:val="center"/>
          </w:tcPr>
          <w:p w14:paraId="7CD65C17" w14:textId="77777777" w:rsidR="00C94F73" w:rsidRPr="00FF14B7" w:rsidRDefault="00C94F73" w:rsidP="00C94F73">
            <w:pPr>
              <w:jc w:val="left"/>
              <w:rPr>
                <w:rFonts w:eastAsia="Times New Roman" w:cs="Times New Roman"/>
                <w:color w:val="000000"/>
                <w:sz w:val="18"/>
                <w:szCs w:val="16"/>
                <w:lang w:eastAsia="zh-CN"/>
              </w:rPr>
            </w:pPr>
          </w:p>
        </w:tc>
        <w:tc>
          <w:tcPr>
            <w:tcW w:w="1214" w:type="dxa"/>
            <w:shd w:val="clear" w:color="auto" w:fill="auto"/>
            <w:noWrap/>
            <w:vAlign w:val="center"/>
          </w:tcPr>
          <w:p w14:paraId="4697D0EC"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w:t>
            </w:r>
          </w:p>
        </w:tc>
        <w:tc>
          <w:tcPr>
            <w:tcW w:w="853" w:type="dxa"/>
            <w:vMerge/>
            <w:vAlign w:val="center"/>
          </w:tcPr>
          <w:p w14:paraId="4936BD3C" w14:textId="77777777" w:rsidR="00C94F73" w:rsidRPr="00FF14B7" w:rsidRDefault="00C94F73" w:rsidP="00C94F73">
            <w:pPr>
              <w:jc w:val="left"/>
              <w:rPr>
                <w:rFonts w:eastAsia="Times New Roman" w:cs="Times New Roman"/>
                <w:color w:val="000000"/>
                <w:sz w:val="18"/>
                <w:szCs w:val="16"/>
                <w:lang w:eastAsia="zh-CN"/>
              </w:rPr>
            </w:pPr>
          </w:p>
        </w:tc>
      </w:tr>
      <w:tr w:rsidR="00C94F73" w:rsidRPr="00FF14B7" w14:paraId="1C71D5D9" w14:textId="77777777" w:rsidTr="00C85568">
        <w:trPr>
          <w:trHeight w:val="267"/>
        </w:trPr>
        <w:tc>
          <w:tcPr>
            <w:tcW w:w="2677" w:type="dxa"/>
            <w:shd w:val="clear" w:color="auto" w:fill="auto"/>
            <w:noWrap/>
            <w:vAlign w:val="center"/>
          </w:tcPr>
          <w:p w14:paraId="16E6B162"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Resin</w:t>
            </w:r>
          </w:p>
        </w:tc>
        <w:tc>
          <w:tcPr>
            <w:tcW w:w="1323" w:type="dxa"/>
            <w:shd w:val="clear" w:color="auto" w:fill="auto"/>
            <w:noWrap/>
            <w:vAlign w:val="center"/>
          </w:tcPr>
          <w:p w14:paraId="2B2FBD7E"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255090</w:t>
            </w:r>
          </w:p>
        </w:tc>
        <w:tc>
          <w:tcPr>
            <w:tcW w:w="1084" w:type="dxa"/>
            <w:vMerge w:val="restart"/>
            <w:shd w:val="clear" w:color="auto" w:fill="auto"/>
            <w:noWrap/>
            <w:vAlign w:val="center"/>
          </w:tcPr>
          <w:p w14:paraId="618549C9"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54.8%</w:t>
            </w:r>
          </w:p>
        </w:tc>
        <w:tc>
          <w:tcPr>
            <w:tcW w:w="1106" w:type="dxa"/>
            <w:vMerge w:val="restart"/>
            <w:shd w:val="clear" w:color="auto" w:fill="auto"/>
            <w:noWrap/>
            <w:vAlign w:val="center"/>
          </w:tcPr>
          <w:p w14:paraId="516C9B01"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363515</w:t>
            </w:r>
          </w:p>
        </w:tc>
        <w:tc>
          <w:tcPr>
            <w:tcW w:w="777" w:type="dxa"/>
            <w:vMerge w:val="restart"/>
            <w:shd w:val="clear" w:color="auto" w:fill="auto"/>
            <w:noWrap/>
            <w:vAlign w:val="center"/>
          </w:tcPr>
          <w:p w14:paraId="4E836049"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40.3%</w:t>
            </w:r>
          </w:p>
        </w:tc>
        <w:tc>
          <w:tcPr>
            <w:tcW w:w="1214" w:type="dxa"/>
            <w:vMerge w:val="restart"/>
            <w:shd w:val="clear" w:color="auto" w:fill="auto"/>
            <w:noWrap/>
            <w:vAlign w:val="center"/>
          </w:tcPr>
          <w:p w14:paraId="2111B214"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363515</w:t>
            </w:r>
          </w:p>
        </w:tc>
        <w:tc>
          <w:tcPr>
            <w:tcW w:w="853" w:type="dxa"/>
            <w:vMerge w:val="restart"/>
            <w:shd w:val="clear" w:color="auto" w:fill="auto"/>
            <w:noWrap/>
            <w:vAlign w:val="center"/>
          </w:tcPr>
          <w:p w14:paraId="3EE96FC6"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24.5%</w:t>
            </w:r>
          </w:p>
        </w:tc>
      </w:tr>
      <w:tr w:rsidR="00C94F73" w:rsidRPr="00FF14B7" w14:paraId="68812592" w14:textId="77777777" w:rsidTr="00C85568">
        <w:trPr>
          <w:trHeight w:val="267"/>
        </w:trPr>
        <w:tc>
          <w:tcPr>
            <w:tcW w:w="2677" w:type="dxa"/>
            <w:shd w:val="clear" w:color="auto" w:fill="auto"/>
            <w:noWrap/>
            <w:vAlign w:val="bottom"/>
          </w:tcPr>
          <w:p w14:paraId="5625B448"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Curing Agent</w:t>
            </w:r>
          </w:p>
        </w:tc>
        <w:tc>
          <w:tcPr>
            <w:tcW w:w="1323" w:type="dxa"/>
            <w:shd w:val="clear" w:color="auto" w:fill="auto"/>
            <w:noWrap/>
            <w:vAlign w:val="center"/>
          </w:tcPr>
          <w:p w14:paraId="7F820ECF"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76534</w:t>
            </w:r>
          </w:p>
        </w:tc>
        <w:tc>
          <w:tcPr>
            <w:tcW w:w="1084" w:type="dxa"/>
            <w:vMerge/>
            <w:vAlign w:val="center"/>
          </w:tcPr>
          <w:p w14:paraId="3B7F278A" w14:textId="77777777" w:rsidR="00C94F73" w:rsidRPr="00FF14B7" w:rsidRDefault="00C94F73" w:rsidP="00C94F73">
            <w:pPr>
              <w:jc w:val="left"/>
              <w:rPr>
                <w:rFonts w:eastAsia="Times New Roman" w:cs="Times New Roman"/>
                <w:color w:val="000000"/>
                <w:sz w:val="18"/>
                <w:szCs w:val="16"/>
                <w:lang w:eastAsia="zh-CN"/>
              </w:rPr>
            </w:pPr>
          </w:p>
        </w:tc>
        <w:tc>
          <w:tcPr>
            <w:tcW w:w="1106" w:type="dxa"/>
            <w:vMerge/>
            <w:shd w:val="clear" w:color="auto" w:fill="auto"/>
            <w:noWrap/>
            <w:vAlign w:val="center"/>
          </w:tcPr>
          <w:p w14:paraId="181CBB37" w14:textId="77777777" w:rsidR="00C94F73" w:rsidRPr="00FF14B7" w:rsidRDefault="00C94F73" w:rsidP="00C94F73">
            <w:pPr>
              <w:jc w:val="right"/>
              <w:rPr>
                <w:rFonts w:eastAsia="Times New Roman" w:cs="Times New Roman"/>
                <w:color w:val="000000"/>
                <w:sz w:val="18"/>
                <w:szCs w:val="16"/>
                <w:lang w:eastAsia="zh-CN"/>
              </w:rPr>
            </w:pPr>
          </w:p>
        </w:tc>
        <w:tc>
          <w:tcPr>
            <w:tcW w:w="777" w:type="dxa"/>
            <w:vMerge/>
            <w:vAlign w:val="center"/>
          </w:tcPr>
          <w:p w14:paraId="2146FDE8" w14:textId="77777777" w:rsidR="00C94F73" w:rsidRPr="00FF14B7" w:rsidRDefault="00C94F73" w:rsidP="00C94F73">
            <w:pPr>
              <w:jc w:val="left"/>
              <w:rPr>
                <w:rFonts w:eastAsia="Times New Roman" w:cs="Times New Roman"/>
                <w:color w:val="000000"/>
                <w:sz w:val="18"/>
                <w:szCs w:val="16"/>
                <w:lang w:eastAsia="zh-CN"/>
              </w:rPr>
            </w:pPr>
          </w:p>
        </w:tc>
        <w:tc>
          <w:tcPr>
            <w:tcW w:w="1214" w:type="dxa"/>
            <w:vMerge/>
            <w:vAlign w:val="center"/>
          </w:tcPr>
          <w:p w14:paraId="3B87675A" w14:textId="77777777" w:rsidR="00C94F73" w:rsidRPr="00FF14B7" w:rsidRDefault="00C94F73" w:rsidP="00C94F73">
            <w:pPr>
              <w:jc w:val="left"/>
              <w:rPr>
                <w:rFonts w:eastAsia="Times New Roman" w:cs="Times New Roman"/>
                <w:color w:val="000000"/>
                <w:sz w:val="18"/>
                <w:szCs w:val="16"/>
                <w:lang w:eastAsia="zh-CN"/>
              </w:rPr>
            </w:pPr>
          </w:p>
        </w:tc>
        <w:tc>
          <w:tcPr>
            <w:tcW w:w="853" w:type="dxa"/>
            <w:vMerge/>
            <w:vAlign w:val="center"/>
          </w:tcPr>
          <w:p w14:paraId="5494B8C4" w14:textId="77777777" w:rsidR="00C94F73" w:rsidRPr="00FF14B7" w:rsidRDefault="00C94F73" w:rsidP="00C94F73">
            <w:pPr>
              <w:jc w:val="left"/>
              <w:rPr>
                <w:rFonts w:eastAsia="Times New Roman" w:cs="Times New Roman"/>
                <w:color w:val="000000"/>
                <w:sz w:val="18"/>
                <w:szCs w:val="16"/>
                <w:lang w:eastAsia="zh-CN"/>
              </w:rPr>
            </w:pPr>
          </w:p>
        </w:tc>
      </w:tr>
      <w:tr w:rsidR="00C94F73" w:rsidRPr="00FF14B7" w14:paraId="62D8B8F2" w14:textId="77777777" w:rsidTr="00C85568">
        <w:trPr>
          <w:trHeight w:val="267"/>
        </w:trPr>
        <w:tc>
          <w:tcPr>
            <w:tcW w:w="2677" w:type="dxa"/>
            <w:shd w:val="clear" w:color="auto" w:fill="auto"/>
            <w:noWrap/>
            <w:vAlign w:val="center"/>
          </w:tcPr>
          <w:p w14:paraId="3D8B413C"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Structural Adhesives</w:t>
            </w:r>
          </w:p>
        </w:tc>
        <w:tc>
          <w:tcPr>
            <w:tcW w:w="1323" w:type="dxa"/>
            <w:shd w:val="clear" w:color="auto" w:fill="auto"/>
            <w:noWrap/>
            <w:vAlign w:val="center"/>
          </w:tcPr>
          <w:p w14:paraId="2252638E"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38914</w:t>
            </w:r>
          </w:p>
        </w:tc>
        <w:tc>
          <w:tcPr>
            <w:tcW w:w="1084" w:type="dxa"/>
            <w:vMerge/>
            <w:vAlign w:val="center"/>
          </w:tcPr>
          <w:p w14:paraId="4DC2005F" w14:textId="77777777" w:rsidR="00C94F73" w:rsidRPr="00FF14B7" w:rsidRDefault="00C94F73" w:rsidP="00C94F73">
            <w:pPr>
              <w:jc w:val="left"/>
              <w:rPr>
                <w:rFonts w:eastAsia="Times New Roman" w:cs="Times New Roman"/>
                <w:color w:val="000000"/>
                <w:sz w:val="18"/>
                <w:szCs w:val="16"/>
                <w:lang w:eastAsia="zh-CN"/>
              </w:rPr>
            </w:pPr>
          </w:p>
        </w:tc>
        <w:tc>
          <w:tcPr>
            <w:tcW w:w="1106" w:type="dxa"/>
            <w:vMerge/>
            <w:shd w:val="clear" w:color="auto" w:fill="auto"/>
            <w:noWrap/>
            <w:vAlign w:val="center"/>
          </w:tcPr>
          <w:p w14:paraId="269528C9" w14:textId="77777777" w:rsidR="00C94F73" w:rsidRPr="00FF14B7" w:rsidRDefault="00C94F73" w:rsidP="00C94F73">
            <w:pPr>
              <w:jc w:val="right"/>
              <w:rPr>
                <w:rFonts w:eastAsia="Times New Roman" w:cs="Times New Roman"/>
                <w:color w:val="000000"/>
                <w:sz w:val="18"/>
                <w:szCs w:val="16"/>
                <w:lang w:eastAsia="zh-CN"/>
              </w:rPr>
            </w:pPr>
          </w:p>
        </w:tc>
        <w:tc>
          <w:tcPr>
            <w:tcW w:w="777" w:type="dxa"/>
            <w:vMerge/>
            <w:vAlign w:val="center"/>
          </w:tcPr>
          <w:p w14:paraId="434A6C8E" w14:textId="77777777" w:rsidR="00C94F73" w:rsidRPr="00FF14B7" w:rsidRDefault="00C94F73" w:rsidP="00C94F73">
            <w:pPr>
              <w:jc w:val="left"/>
              <w:rPr>
                <w:rFonts w:eastAsia="Times New Roman" w:cs="Times New Roman"/>
                <w:color w:val="000000"/>
                <w:sz w:val="18"/>
                <w:szCs w:val="16"/>
                <w:lang w:eastAsia="zh-CN"/>
              </w:rPr>
            </w:pPr>
          </w:p>
        </w:tc>
        <w:tc>
          <w:tcPr>
            <w:tcW w:w="1214" w:type="dxa"/>
            <w:vMerge/>
            <w:vAlign w:val="center"/>
          </w:tcPr>
          <w:p w14:paraId="19334CA5" w14:textId="77777777" w:rsidR="00C94F73" w:rsidRPr="00FF14B7" w:rsidRDefault="00C94F73" w:rsidP="00C94F73">
            <w:pPr>
              <w:jc w:val="left"/>
              <w:rPr>
                <w:rFonts w:eastAsia="Times New Roman" w:cs="Times New Roman"/>
                <w:color w:val="000000"/>
                <w:sz w:val="18"/>
                <w:szCs w:val="16"/>
                <w:lang w:eastAsia="zh-CN"/>
              </w:rPr>
            </w:pPr>
          </w:p>
        </w:tc>
        <w:tc>
          <w:tcPr>
            <w:tcW w:w="853" w:type="dxa"/>
            <w:vMerge/>
            <w:vAlign w:val="center"/>
          </w:tcPr>
          <w:p w14:paraId="60100D3D" w14:textId="77777777" w:rsidR="00C94F73" w:rsidRPr="00FF14B7" w:rsidRDefault="00C94F73" w:rsidP="00C94F73">
            <w:pPr>
              <w:jc w:val="left"/>
              <w:rPr>
                <w:rFonts w:eastAsia="Times New Roman" w:cs="Times New Roman"/>
                <w:color w:val="000000"/>
                <w:sz w:val="18"/>
                <w:szCs w:val="16"/>
                <w:lang w:eastAsia="zh-CN"/>
              </w:rPr>
            </w:pPr>
          </w:p>
        </w:tc>
      </w:tr>
      <w:tr w:rsidR="00C94F73" w:rsidRPr="00FF14B7" w14:paraId="0B2D3252" w14:textId="77777777" w:rsidTr="00C85568">
        <w:trPr>
          <w:trHeight w:val="267"/>
        </w:trPr>
        <w:tc>
          <w:tcPr>
            <w:tcW w:w="2677" w:type="dxa"/>
            <w:shd w:val="clear" w:color="auto" w:fill="auto"/>
            <w:noWrap/>
            <w:vAlign w:val="bottom"/>
          </w:tcPr>
          <w:p w14:paraId="2F3C0950"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Structural Adhesives Curing Agent</w:t>
            </w:r>
          </w:p>
        </w:tc>
        <w:tc>
          <w:tcPr>
            <w:tcW w:w="1323" w:type="dxa"/>
            <w:shd w:val="clear" w:color="auto" w:fill="auto"/>
            <w:noWrap/>
            <w:vAlign w:val="center"/>
          </w:tcPr>
          <w:p w14:paraId="2D3DFD08"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17490</w:t>
            </w:r>
          </w:p>
        </w:tc>
        <w:tc>
          <w:tcPr>
            <w:tcW w:w="1084" w:type="dxa"/>
            <w:vMerge/>
            <w:vAlign w:val="center"/>
          </w:tcPr>
          <w:p w14:paraId="3E20F3DF" w14:textId="77777777" w:rsidR="00C94F73" w:rsidRPr="00FF14B7" w:rsidRDefault="00C94F73" w:rsidP="00C94F73">
            <w:pPr>
              <w:jc w:val="left"/>
              <w:rPr>
                <w:rFonts w:eastAsia="Times New Roman" w:cs="Times New Roman"/>
                <w:color w:val="000000"/>
                <w:sz w:val="18"/>
                <w:szCs w:val="16"/>
                <w:lang w:eastAsia="zh-CN"/>
              </w:rPr>
            </w:pPr>
          </w:p>
        </w:tc>
        <w:tc>
          <w:tcPr>
            <w:tcW w:w="1106" w:type="dxa"/>
            <w:vMerge/>
            <w:shd w:val="clear" w:color="auto" w:fill="auto"/>
            <w:noWrap/>
            <w:vAlign w:val="center"/>
          </w:tcPr>
          <w:p w14:paraId="1138954B" w14:textId="77777777" w:rsidR="00C94F73" w:rsidRPr="00FF14B7" w:rsidRDefault="00C94F73" w:rsidP="00C94F73">
            <w:pPr>
              <w:jc w:val="right"/>
              <w:rPr>
                <w:rFonts w:eastAsia="Times New Roman" w:cs="Times New Roman"/>
                <w:color w:val="000000"/>
                <w:sz w:val="18"/>
                <w:szCs w:val="16"/>
                <w:lang w:eastAsia="zh-CN"/>
              </w:rPr>
            </w:pPr>
          </w:p>
        </w:tc>
        <w:tc>
          <w:tcPr>
            <w:tcW w:w="777" w:type="dxa"/>
            <w:vMerge/>
            <w:vAlign w:val="center"/>
          </w:tcPr>
          <w:p w14:paraId="42C42B92" w14:textId="77777777" w:rsidR="00C94F73" w:rsidRPr="00FF14B7" w:rsidRDefault="00C94F73" w:rsidP="00C94F73">
            <w:pPr>
              <w:jc w:val="left"/>
              <w:rPr>
                <w:rFonts w:eastAsia="Times New Roman" w:cs="Times New Roman"/>
                <w:color w:val="000000"/>
                <w:sz w:val="18"/>
                <w:szCs w:val="16"/>
                <w:lang w:eastAsia="zh-CN"/>
              </w:rPr>
            </w:pPr>
          </w:p>
        </w:tc>
        <w:tc>
          <w:tcPr>
            <w:tcW w:w="1214" w:type="dxa"/>
            <w:vMerge/>
            <w:vAlign w:val="center"/>
          </w:tcPr>
          <w:p w14:paraId="7AC86B42" w14:textId="77777777" w:rsidR="00C94F73" w:rsidRPr="00FF14B7" w:rsidRDefault="00C94F73" w:rsidP="00C94F73">
            <w:pPr>
              <w:jc w:val="left"/>
              <w:rPr>
                <w:rFonts w:eastAsia="Times New Roman" w:cs="Times New Roman"/>
                <w:color w:val="000000"/>
                <w:sz w:val="18"/>
                <w:szCs w:val="16"/>
                <w:lang w:eastAsia="zh-CN"/>
              </w:rPr>
            </w:pPr>
          </w:p>
        </w:tc>
        <w:tc>
          <w:tcPr>
            <w:tcW w:w="853" w:type="dxa"/>
            <w:vMerge/>
            <w:vAlign w:val="center"/>
          </w:tcPr>
          <w:p w14:paraId="75C7C067" w14:textId="77777777" w:rsidR="00C94F73" w:rsidRPr="00FF14B7" w:rsidRDefault="00C94F73" w:rsidP="00C94F73">
            <w:pPr>
              <w:jc w:val="left"/>
              <w:rPr>
                <w:rFonts w:eastAsia="Times New Roman" w:cs="Times New Roman"/>
                <w:color w:val="000000"/>
                <w:sz w:val="18"/>
                <w:szCs w:val="16"/>
                <w:lang w:eastAsia="zh-CN"/>
              </w:rPr>
            </w:pPr>
          </w:p>
        </w:tc>
      </w:tr>
      <w:tr w:rsidR="00C94F73" w:rsidRPr="00FF14B7" w14:paraId="1D0ADD12" w14:textId="77777777" w:rsidTr="00C85568">
        <w:trPr>
          <w:trHeight w:val="267"/>
        </w:trPr>
        <w:tc>
          <w:tcPr>
            <w:tcW w:w="2677" w:type="dxa"/>
            <w:shd w:val="clear" w:color="auto" w:fill="auto"/>
            <w:noWrap/>
            <w:vAlign w:val="center"/>
          </w:tcPr>
          <w:p w14:paraId="5FF033DA"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Steel</w:t>
            </w:r>
          </w:p>
        </w:tc>
        <w:tc>
          <w:tcPr>
            <w:tcW w:w="1323" w:type="dxa"/>
            <w:shd w:val="clear" w:color="auto" w:fill="auto"/>
            <w:noWrap/>
            <w:vAlign w:val="center"/>
          </w:tcPr>
          <w:p w14:paraId="1D0217A7"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3350</w:t>
            </w:r>
          </w:p>
        </w:tc>
        <w:tc>
          <w:tcPr>
            <w:tcW w:w="1084" w:type="dxa"/>
            <w:shd w:val="clear" w:color="auto" w:fill="auto"/>
            <w:noWrap/>
            <w:vAlign w:val="center"/>
          </w:tcPr>
          <w:p w14:paraId="745212E5"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0.5%</w:t>
            </w:r>
          </w:p>
        </w:tc>
        <w:tc>
          <w:tcPr>
            <w:tcW w:w="1106" w:type="dxa"/>
            <w:shd w:val="clear" w:color="auto" w:fill="auto"/>
            <w:noWrap/>
            <w:vAlign w:val="center"/>
          </w:tcPr>
          <w:p w14:paraId="0BABC1FF"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5523</w:t>
            </w:r>
          </w:p>
        </w:tc>
        <w:tc>
          <w:tcPr>
            <w:tcW w:w="777" w:type="dxa"/>
            <w:shd w:val="clear" w:color="auto" w:fill="auto"/>
            <w:noWrap/>
            <w:vAlign w:val="center"/>
          </w:tcPr>
          <w:p w14:paraId="573E0F34"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0.6%</w:t>
            </w:r>
          </w:p>
        </w:tc>
        <w:tc>
          <w:tcPr>
            <w:tcW w:w="1214" w:type="dxa"/>
            <w:shd w:val="clear" w:color="auto" w:fill="auto"/>
            <w:noWrap/>
            <w:vAlign w:val="center"/>
          </w:tcPr>
          <w:p w14:paraId="02DA273E"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5523</w:t>
            </w:r>
          </w:p>
        </w:tc>
        <w:tc>
          <w:tcPr>
            <w:tcW w:w="853" w:type="dxa"/>
            <w:shd w:val="clear" w:color="auto" w:fill="auto"/>
            <w:noWrap/>
            <w:vAlign w:val="center"/>
          </w:tcPr>
          <w:p w14:paraId="062037D7"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0.4%</w:t>
            </w:r>
          </w:p>
        </w:tc>
      </w:tr>
      <w:tr w:rsidR="00C94F73" w:rsidRPr="00FF14B7" w14:paraId="04770B67" w14:textId="77777777" w:rsidTr="00C85568">
        <w:trPr>
          <w:trHeight w:val="267"/>
        </w:trPr>
        <w:tc>
          <w:tcPr>
            <w:tcW w:w="2677" w:type="dxa"/>
            <w:shd w:val="clear" w:color="auto" w:fill="auto"/>
            <w:noWrap/>
            <w:vAlign w:val="center"/>
          </w:tcPr>
          <w:p w14:paraId="44CFBB38"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Copper</w:t>
            </w:r>
          </w:p>
        </w:tc>
        <w:tc>
          <w:tcPr>
            <w:tcW w:w="1323" w:type="dxa"/>
            <w:shd w:val="clear" w:color="auto" w:fill="auto"/>
            <w:noWrap/>
            <w:vAlign w:val="center"/>
          </w:tcPr>
          <w:p w14:paraId="704E2D11"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1859</w:t>
            </w:r>
          </w:p>
        </w:tc>
        <w:tc>
          <w:tcPr>
            <w:tcW w:w="1084" w:type="dxa"/>
            <w:shd w:val="clear" w:color="auto" w:fill="auto"/>
            <w:noWrap/>
            <w:vAlign w:val="center"/>
          </w:tcPr>
          <w:p w14:paraId="0223E5E8"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0.3%</w:t>
            </w:r>
          </w:p>
        </w:tc>
        <w:tc>
          <w:tcPr>
            <w:tcW w:w="1106" w:type="dxa"/>
            <w:shd w:val="clear" w:color="auto" w:fill="auto"/>
            <w:noWrap/>
            <w:vAlign w:val="center"/>
          </w:tcPr>
          <w:p w14:paraId="3637AB28"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10201</w:t>
            </w:r>
          </w:p>
        </w:tc>
        <w:tc>
          <w:tcPr>
            <w:tcW w:w="777" w:type="dxa"/>
            <w:shd w:val="clear" w:color="auto" w:fill="auto"/>
            <w:noWrap/>
            <w:vAlign w:val="center"/>
          </w:tcPr>
          <w:p w14:paraId="10ADE804"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1.1%</w:t>
            </w:r>
          </w:p>
        </w:tc>
        <w:tc>
          <w:tcPr>
            <w:tcW w:w="1214" w:type="dxa"/>
            <w:shd w:val="clear" w:color="auto" w:fill="auto"/>
            <w:noWrap/>
            <w:vAlign w:val="center"/>
          </w:tcPr>
          <w:p w14:paraId="7AAA9AB2"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10201</w:t>
            </w:r>
          </w:p>
        </w:tc>
        <w:tc>
          <w:tcPr>
            <w:tcW w:w="853" w:type="dxa"/>
            <w:shd w:val="clear" w:color="auto" w:fill="auto"/>
            <w:noWrap/>
            <w:vAlign w:val="center"/>
          </w:tcPr>
          <w:p w14:paraId="7DFD962C"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0.7%</w:t>
            </w:r>
          </w:p>
        </w:tc>
      </w:tr>
      <w:tr w:rsidR="00C94F73" w:rsidRPr="00FF14B7" w14:paraId="5526A2A6" w14:textId="77777777" w:rsidTr="00C85568">
        <w:trPr>
          <w:trHeight w:val="267"/>
        </w:trPr>
        <w:tc>
          <w:tcPr>
            <w:tcW w:w="2677" w:type="dxa"/>
            <w:shd w:val="clear" w:color="auto" w:fill="auto"/>
            <w:noWrap/>
            <w:vAlign w:val="center"/>
          </w:tcPr>
          <w:p w14:paraId="65FD13CE"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Aluminium</w:t>
            </w:r>
          </w:p>
        </w:tc>
        <w:tc>
          <w:tcPr>
            <w:tcW w:w="1323" w:type="dxa"/>
            <w:shd w:val="clear" w:color="auto" w:fill="auto"/>
            <w:noWrap/>
            <w:vAlign w:val="center"/>
          </w:tcPr>
          <w:p w14:paraId="38EDB82D"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500</w:t>
            </w:r>
          </w:p>
        </w:tc>
        <w:tc>
          <w:tcPr>
            <w:tcW w:w="1084" w:type="dxa"/>
            <w:shd w:val="clear" w:color="auto" w:fill="auto"/>
            <w:noWrap/>
            <w:vAlign w:val="center"/>
          </w:tcPr>
          <w:p w14:paraId="12BF773C"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0.1%</w:t>
            </w:r>
          </w:p>
        </w:tc>
        <w:tc>
          <w:tcPr>
            <w:tcW w:w="1106" w:type="dxa"/>
            <w:shd w:val="clear" w:color="auto" w:fill="auto"/>
            <w:noWrap/>
            <w:vAlign w:val="center"/>
          </w:tcPr>
          <w:p w14:paraId="564DE6F4"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680</w:t>
            </w:r>
          </w:p>
        </w:tc>
        <w:tc>
          <w:tcPr>
            <w:tcW w:w="777" w:type="dxa"/>
            <w:shd w:val="clear" w:color="auto" w:fill="auto"/>
            <w:noWrap/>
            <w:vAlign w:val="center"/>
          </w:tcPr>
          <w:p w14:paraId="05A1F44A"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0.1%</w:t>
            </w:r>
          </w:p>
        </w:tc>
        <w:tc>
          <w:tcPr>
            <w:tcW w:w="1214" w:type="dxa"/>
            <w:shd w:val="clear" w:color="auto" w:fill="auto"/>
            <w:noWrap/>
            <w:vAlign w:val="center"/>
          </w:tcPr>
          <w:p w14:paraId="31255F99"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680</w:t>
            </w:r>
          </w:p>
        </w:tc>
        <w:tc>
          <w:tcPr>
            <w:tcW w:w="853" w:type="dxa"/>
            <w:shd w:val="clear" w:color="auto" w:fill="auto"/>
            <w:noWrap/>
            <w:vAlign w:val="center"/>
          </w:tcPr>
          <w:p w14:paraId="01D14A93"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0.0%</w:t>
            </w:r>
          </w:p>
        </w:tc>
      </w:tr>
      <w:tr w:rsidR="00C94F73" w:rsidRPr="00FF14B7" w14:paraId="46BDD3C7" w14:textId="77777777" w:rsidTr="00C85568">
        <w:trPr>
          <w:trHeight w:val="267"/>
        </w:trPr>
        <w:tc>
          <w:tcPr>
            <w:tcW w:w="2677" w:type="dxa"/>
            <w:shd w:val="clear" w:color="auto" w:fill="auto"/>
            <w:noWrap/>
            <w:vAlign w:val="center"/>
          </w:tcPr>
          <w:p w14:paraId="463A8B74"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Balsa</w:t>
            </w:r>
          </w:p>
        </w:tc>
        <w:tc>
          <w:tcPr>
            <w:tcW w:w="1323" w:type="dxa"/>
            <w:shd w:val="clear" w:color="auto" w:fill="auto"/>
            <w:noWrap/>
            <w:vAlign w:val="center"/>
          </w:tcPr>
          <w:p w14:paraId="4F04C71E"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2538</w:t>
            </w:r>
          </w:p>
        </w:tc>
        <w:tc>
          <w:tcPr>
            <w:tcW w:w="1084" w:type="dxa"/>
            <w:shd w:val="clear" w:color="auto" w:fill="auto"/>
            <w:noWrap/>
            <w:vAlign w:val="center"/>
          </w:tcPr>
          <w:p w14:paraId="0557ABE9"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0.4%</w:t>
            </w:r>
          </w:p>
        </w:tc>
        <w:tc>
          <w:tcPr>
            <w:tcW w:w="1106" w:type="dxa"/>
            <w:shd w:val="clear" w:color="auto" w:fill="auto"/>
            <w:noWrap/>
            <w:vAlign w:val="center"/>
          </w:tcPr>
          <w:p w14:paraId="0F6AAD3D"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633</w:t>
            </w:r>
          </w:p>
        </w:tc>
        <w:tc>
          <w:tcPr>
            <w:tcW w:w="777" w:type="dxa"/>
            <w:shd w:val="clear" w:color="auto" w:fill="auto"/>
            <w:noWrap/>
            <w:vAlign w:val="center"/>
          </w:tcPr>
          <w:p w14:paraId="0A84BB5B"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0.1%</w:t>
            </w:r>
          </w:p>
        </w:tc>
        <w:tc>
          <w:tcPr>
            <w:tcW w:w="1214" w:type="dxa"/>
            <w:shd w:val="clear" w:color="auto" w:fill="auto"/>
            <w:noWrap/>
            <w:vAlign w:val="center"/>
          </w:tcPr>
          <w:p w14:paraId="21143C65"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633</w:t>
            </w:r>
          </w:p>
        </w:tc>
        <w:tc>
          <w:tcPr>
            <w:tcW w:w="853" w:type="dxa"/>
            <w:shd w:val="clear" w:color="auto" w:fill="auto"/>
            <w:noWrap/>
            <w:vAlign w:val="center"/>
          </w:tcPr>
          <w:p w14:paraId="205DBA39"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0.0%</w:t>
            </w:r>
          </w:p>
        </w:tc>
      </w:tr>
      <w:tr w:rsidR="00C94F73" w:rsidRPr="00FF14B7" w14:paraId="0827DAD6" w14:textId="77777777" w:rsidTr="00C85568">
        <w:trPr>
          <w:trHeight w:val="267"/>
        </w:trPr>
        <w:tc>
          <w:tcPr>
            <w:tcW w:w="2677" w:type="dxa"/>
            <w:shd w:val="clear" w:color="auto" w:fill="auto"/>
            <w:noWrap/>
            <w:vAlign w:val="center"/>
          </w:tcPr>
          <w:p w14:paraId="7B726689"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PVC</w:t>
            </w:r>
          </w:p>
        </w:tc>
        <w:tc>
          <w:tcPr>
            <w:tcW w:w="1323" w:type="dxa"/>
            <w:shd w:val="clear" w:color="auto" w:fill="auto"/>
            <w:noWrap/>
            <w:vAlign w:val="center"/>
          </w:tcPr>
          <w:p w14:paraId="6ED48F87"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12606</w:t>
            </w:r>
          </w:p>
        </w:tc>
        <w:tc>
          <w:tcPr>
            <w:tcW w:w="1084" w:type="dxa"/>
            <w:shd w:val="clear" w:color="auto" w:fill="auto"/>
            <w:noWrap/>
            <w:vAlign w:val="center"/>
          </w:tcPr>
          <w:p w14:paraId="6B930E53"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1.8%</w:t>
            </w:r>
          </w:p>
        </w:tc>
        <w:tc>
          <w:tcPr>
            <w:tcW w:w="1106" w:type="dxa"/>
            <w:shd w:val="clear" w:color="auto" w:fill="auto"/>
            <w:noWrap/>
            <w:vAlign w:val="center"/>
          </w:tcPr>
          <w:p w14:paraId="03996FBB"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12969</w:t>
            </w:r>
          </w:p>
        </w:tc>
        <w:tc>
          <w:tcPr>
            <w:tcW w:w="777" w:type="dxa"/>
            <w:shd w:val="clear" w:color="auto" w:fill="auto"/>
            <w:noWrap/>
            <w:vAlign w:val="center"/>
          </w:tcPr>
          <w:p w14:paraId="306009DD"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1.4%</w:t>
            </w:r>
          </w:p>
        </w:tc>
        <w:tc>
          <w:tcPr>
            <w:tcW w:w="1214" w:type="dxa"/>
            <w:shd w:val="clear" w:color="auto" w:fill="auto"/>
            <w:noWrap/>
            <w:vAlign w:val="center"/>
          </w:tcPr>
          <w:p w14:paraId="6F672E36"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12969</w:t>
            </w:r>
          </w:p>
        </w:tc>
        <w:tc>
          <w:tcPr>
            <w:tcW w:w="853" w:type="dxa"/>
            <w:shd w:val="clear" w:color="auto" w:fill="auto"/>
            <w:noWrap/>
            <w:vAlign w:val="center"/>
          </w:tcPr>
          <w:p w14:paraId="6464C008"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0.9%</w:t>
            </w:r>
          </w:p>
        </w:tc>
      </w:tr>
      <w:tr w:rsidR="00C94F73" w:rsidRPr="00FF14B7" w14:paraId="1FD9B572" w14:textId="77777777" w:rsidTr="00C85568">
        <w:trPr>
          <w:trHeight w:val="267"/>
        </w:trPr>
        <w:tc>
          <w:tcPr>
            <w:tcW w:w="2677" w:type="dxa"/>
            <w:shd w:val="clear" w:color="auto" w:fill="auto"/>
            <w:noWrap/>
            <w:vAlign w:val="center"/>
          </w:tcPr>
          <w:p w14:paraId="7C02F4BE"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Paint</w:t>
            </w:r>
          </w:p>
        </w:tc>
        <w:tc>
          <w:tcPr>
            <w:tcW w:w="1323" w:type="dxa"/>
            <w:shd w:val="clear" w:color="auto" w:fill="auto"/>
            <w:noWrap/>
            <w:vAlign w:val="center"/>
          </w:tcPr>
          <w:p w14:paraId="18741549"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7635</w:t>
            </w:r>
          </w:p>
        </w:tc>
        <w:tc>
          <w:tcPr>
            <w:tcW w:w="1084" w:type="dxa"/>
            <w:shd w:val="clear" w:color="auto" w:fill="auto"/>
            <w:noWrap/>
            <w:vAlign w:val="center"/>
          </w:tcPr>
          <w:p w14:paraId="38615987"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1.1%</w:t>
            </w:r>
          </w:p>
        </w:tc>
        <w:tc>
          <w:tcPr>
            <w:tcW w:w="1106" w:type="dxa"/>
            <w:shd w:val="clear" w:color="auto" w:fill="auto"/>
            <w:noWrap/>
            <w:vAlign w:val="center"/>
          </w:tcPr>
          <w:p w14:paraId="09B458E0"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5900</w:t>
            </w:r>
          </w:p>
        </w:tc>
        <w:tc>
          <w:tcPr>
            <w:tcW w:w="777" w:type="dxa"/>
            <w:shd w:val="clear" w:color="auto" w:fill="auto"/>
            <w:noWrap/>
            <w:vAlign w:val="center"/>
          </w:tcPr>
          <w:p w14:paraId="66C25221"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0.7%</w:t>
            </w:r>
          </w:p>
        </w:tc>
        <w:tc>
          <w:tcPr>
            <w:tcW w:w="1214" w:type="dxa"/>
            <w:shd w:val="clear" w:color="auto" w:fill="auto"/>
            <w:noWrap/>
            <w:vAlign w:val="center"/>
          </w:tcPr>
          <w:p w14:paraId="47D5A423"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5900</w:t>
            </w:r>
          </w:p>
        </w:tc>
        <w:tc>
          <w:tcPr>
            <w:tcW w:w="853" w:type="dxa"/>
            <w:shd w:val="clear" w:color="auto" w:fill="auto"/>
            <w:noWrap/>
            <w:vAlign w:val="center"/>
          </w:tcPr>
          <w:p w14:paraId="6A06BEFC"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0.4%</w:t>
            </w:r>
          </w:p>
        </w:tc>
      </w:tr>
      <w:tr w:rsidR="00C94F73" w:rsidRPr="00FF14B7" w14:paraId="6271E8C6" w14:textId="77777777" w:rsidTr="00C85568">
        <w:trPr>
          <w:trHeight w:val="267"/>
        </w:trPr>
        <w:tc>
          <w:tcPr>
            <w:tcW w:w="2677" w:type="dxa"/>
            <w:shd w:val="clear" w:color="auto" w:fill="auto"/>
            <w:noWrap/>
            <w:vAlign w:val="center"/>
          </w:tcPr>
          <w:p w14:paraId="7E129F77"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Putty</w:t>
            </w:r>
          </w:p>
        </w:tc>
        <w:tc>
          <w:tcPr>
            <w:tcW w:w="1323" w:type="dxa"/>
            <w:shd w:val="clear" w:color="auto" w:fill="auto"/>
            <w:noWrap/>
            <w:vAlign w:val="center"/>
          </w:tcPr>
          <w:p w14:paraId="2B7C9C41"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5507</w:t>
            </w:r>
          </w:p>
        </w:tc>
        <w:tc>
          <w:tcPr>
            <w:tcW w:w="1084" w:type="dxa"/>
            <w:shd w:val="clear" w:color="auto" w:fill="auto"/>
            <w:noWrap/>
            <w:vAlign w:val="center"/>
          </w:tcPr>
          <w:p w14:paraId="6683458C"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0.8%</w:t>
            </w:r>
          </w:p>
        </w:tc>
        <w:tc>
          <w:tcPr>
            <w:tcW w:w="1106" w:type="dxa"/>
            <w:shd w:val="clear" w:color="auto" w:fill="auto"/>
            <w:noWrap/>
            <w:vAlign w:val="center"/>
          </w:tcPr>
          <w:p w14:paraId="55100731"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16324</w:t>
            </w:r>
          </w:p>
        </w:tc>
        <w:tc>
          <w:tcPr>
            <w:tcW w:w="777" w:type="dxa"/>
            <w:shd w:val="clear" w:color="auto" w:fill="auto"/>
            <w:noWrap/>
            <w:vAlign w:val="center"/>
          </w:tcPr>
          <w:p w14:paraId="62F0BBE4"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1.8%</w:t>
            </w:r>
          </w:p>
        </w:tc>
        <w:tc>
          <w:tcPr>
            <w:tcW w:w="1214" w:type="dxa"/>
            <w:shd w:val="clear" w:color="auto" w:fill="auto"/>
            <w:noWrap/>
            <w:vAlign w:val="center"/>
          </w:tcPr>
          <w:p w14:paraId="4864F28B"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16324</w:t>
            </w:r>
          </w:p>
        </w:tc>
        <w:tc>
          <w:tcPr>
            <w:tcW w:w="853" w:type="dxa"/>
            <w:shd w:val="clear" w:color="auto" w:fill="auto"/>
            <w:noWrap/>
            <w:vAlign w:val="center"/>
          </w:tcPr>
          <w:p w14:paraId="63B99ABB"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1.1%</w:t>
            </w:r>
          </w:p>
        </w:tc>
      </w:tr>
      <w:tr w:rsidR="00C94F73" w:rsidRPr="00FF14B7" w14:paraId="7FDC55E1" w14:textId="77777777" w:rsidTr="00C85568">
        <w:trPr>
          <w:trHeight w:val="267"/>
        </w:trPr>
        <w:tc>
          <w:tcPr>
            <w:tcW w:w="2677" w:type="dxa"/>
            <w:shd w:val="clear" w:color="auto" w:fill="auto"/>
            <w:noWrap/>
            <w:vAlign w:val="center"/>
          </w:tcPr>
          <w:p w14:paraId="46FBE2E6"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Spray Adhesives</w:t>
            </w:r>
          </w:p>
        </w:tc>
        <w:tc>
          <w:tcPr>
            <w:tcW w:w="1323" w:type="dxa"/>
            <w:shd w:val="clear" w:color="auto" w:fill="auto"/>
            <w:noWrap/>
            <w:vAlign w:val="center"/>
          </w:tcPr>
          <w:p w14:paraId="483C6BC5"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393</w:t>
            </w:r>
          </w:p>
        </w:tc>
        <w:tc>
          <w:tcPr>
            <w:tcW w:w="1084" w:type="dxa"/>
            <w:shd w:val="clear" w:color="auto" w:fill="auto"/>
            <w:noWrap/>
            <w:vAlign w:val="center"/>
          </w:tcPr>
          <w:p w14:paraId="50FF32B7"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0.1%</w:t>
            </w:r>
          </w:p>
        </w:tc>
        <w:tc>
          <w:tcPr>
            <w:tcW w:w="1106" w:type="dxa"/>
            <w:shd w:val="clear" w:color="auto" w:fill="auto"/>
            <w:noWrap/>
            <w:vAlign w:val="center"/>
          </w:tcPr>
          <w:p w14:paraId="694981A0"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1079</w:t>
            </w:r>
          </w:p>
        </w:tc>
        <w:tc>
          <w:tcPr>
            <w:tcW w:w="777" w:type="dxa"/>
            <w:shd w:val="clear" w:color="auto" w:fill="auto"/>
            <w:noWrap/>
            <w:vAlign w:val="center"/>
          </w:tcPr>
          <w:p w14:paraId="43FECD96"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0.1%</w:t>
            </w:r>
          </w:p>
        </w:tc>
        <w:tc>
          <w:tcPr>
            <w:tcW w:w="1214" w:type="dxa"/>
            <w:shd w:val="clear" w:color="auto" w:fill="auto"/>
            <w:noWrap/>
            <w:vAlign w:val="center"/>
          </w:tcPr>
          <w:p w14:paraId="2121D401"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1079</w:t>
            </w:r>
          </w:p>
        </w:tc>
        <w:tc>
          <w:tcPr>
            <w:tcW w:w="853" w:type="dxa"/>
            <w:shd w:val="clear" w:color="auto" w:fill="auto"/>
            <w:noWrap/>
            <w:vAlign w:val="center"/>
          </w:tcPr>
          <w:p w14:paraId="29CEDC0B"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0.1%</w:t>
            </w:r>
          </w:p>
        </w:tc>
      </w:tr>
      <w:tr w:rsidR="00C94F73" w:rsidRPr="00FF14B7" w14:paraId="5486AFB0" w14:textId="77777777" w:rsidTr="00C85568">
        <w:trPr>
          <w:trHeight w:val="267"/>
        </w:trPr>
        <w:tc>
          <w:tcPr>
            <w:tcW w:w="2677" w:type="dxa"/>
            <w:shd w:val="clear" w:color="000000" w:fill="FFEB9C"/>
            <w:noWrap/>
            <w:vAlign w:val="center"/>
          </w:tcPr>
          <w:p w14:paraId="42D7884F" w14:textId="77777777" w:rsidR="00C94F73" w:rsidRPr="00FF14B7" w:rsidRDefault="00C94F73" w:rsidP="00C94F73">
            <w:pPr>
              <w:jc w:val="left"/>
              <w:rPr>
                <w:rFonts w:eastAsia="Times New Roman" w:cs="Times New Roman"/>
                <w:color w:val="9C6500"/>
                <w:sz w:val="18"/>
                <w:szCs w:val="16"/>
                <w:lang w:eastAsia="zh-CN"/>
              </w:rPr>
            </w:pPr>
            <w:r w:rsidRPr="00FF14B7">
              <w:rPr>
                <w:rFonts w:eastAsia="Times New Roman" w:cs="Times New Roman"/>
                <w:color w:val="9C6500"/>
                <w:sz w:val="18"/>
                <w:szCs w:val="16"/>
                <w:lang w:eastAsia="zh-CN"/>
              </w:rPr>
              <w:t>Total Material Energy</w:t>
            </w:r>
          </w:p>
        </w:tc>
        <w:tc>
          <w:tcPr>
            <w:tcW w:w="1323" w:type="dxa"/>
            <w:shd w:val="clear" w:color="000000" w:fill="FFEB9C"/>
            <w:noWrap/>
            <w:vAlign w:val="center"/>
          </w:tcPr>
          <w:p w14:paraId="61950402" w14:textId="77777777" w:rsidR="00C94F73" w:rsidRPr="00FF14B7" w:rsidRDefault="00C94F73" w:rsidP="00C94F73">
            <w:pPr>
              <w:jc w:val="right"/>
              <w:rPr>
                <w:rFonts w:eastAsia="Times New Roman" w:cs="Times New Roman"/>
                <w:color w:val="9C6500"/>
                <w:sz w:val="18"/>
                <w:szCs w:val="16"/>
                <w:lang w:eastAsia="zh-CN"/>
              </w:rPr>
            </w:pPr>
            <w:r w:rsidRPr="00FF14B7">
              <w:rPr>
                <w:rFonts w:eastAsia="Times New Roman" w:cs="Times New Roman"/>
                <w:color w:val="9C6500"/>
                <w:sz w:val="18"/>
                <w:szCs w:val="16"/>
                <w:lang w:eastAsia="zh-CN"/>
              </w:rPr>
              <w:t>708316</w:t>
            </w:r>
          </w:p>
        </w:tc>
        <w:tc>
          <w:tcPr>
            <w:tcW w:w="1084" w:type="dxa"/>
            <w:shd w:val="clear" w:color="000000" w:fill="FFEB9C"/>
            <w:noWrap/>
            <w:vAlign w:val="center"/>
          </w:tcPr>
          <w:p w14:paraId="2CC79B3E" w14:textId="77777777" w:rsidR="00C94F73" w:rsidRPr="00FF14B7" w:rsidRDefault="00C94F73" w:rsidP="00C94F73">
            <w:pPr>
              <w:jc w:val="right"/>
              <w:rPr>
                <w:rFonts w:eastAsia="Times New Roman" w:cs="Times New Roman"/>
                <w:color w:val="9C6500"/>
                <w:sz w:val="18"/>
                <w:szCs w:val="16"/>
                <w:lang w:eastAsia="zh-CN"/>
              </w:rPr>
            </w:pPr>
            <w:r w:rsidRPr="00FF14B7">
              <w:rPr>
                <w:rFonts w:eastAsia="Times New Roman" w:cs="Times New Roman"/>
                <w:color w:val="9C6500"/>
                <w:sz w:val="18"/>
                <w:szCs w:val="16"/>
                <w:lang w:eastAsia="zh-CN"/>
              </w:rPr>
              <w:t>100%</w:t>
            </w:r>
          </w:p>
        </w:tc>
        <w:tc>
          <w:tcPr>
            <w:tcW w:w="1106" w:type="dxa"/>
            <w:shd w:val="clear" w:color="000000" w:fill="FFEB9C"/>
            <w:noWrap/>
            <w:vAlign w:val="center"/>
          </w:tcPr>
          <w:p w14:paraId="009B5D30" w14:textId="77777777" w:rsidR="00C94F73" w:rsidRPr="00FF14B7" w:rsidRDefault="00C94F73" w:rsidP="00C94F73">
            <w:pPr>
              <w:jc w:val="right"/>
              <w:rPr>
                <w:rFonts w:eastAsia="Times New Roman" w:cs="Times New Roman"/>
                <w:color w:val="9C6500"/>
                <w:sz w:val="18"/>
                <w:szCs w:val="16"/>
                <w:lang w:eastAsia="zh-CN"/>
              </w:rPr>
            </w:pPr>
            <w:r w:rsidRPr="00FF14B7">
              <w:rPr>
                <w:rFonts w:eastAsia="Times New Roman" w:cs="Times New Roman"/>
                <w:color w:val="9C6500"/>
                <w:sz w:val="18"/>
                <w:szCs w:val="16"/>
                <w:lang w:eastAsia="zh-CN"/>
              </w:rPr>
              <w:t>902733</w:t>
            </w:r>
          </w:p>
        </w:tc>
        <w:tc>
          <w:tcPr>
            <w:tcW w:w="777" w:type="dxa"/>
            <w:shd w:val="clear" w:color="000000" w:fill="FFEB9C"/>
            <w:noWrap/>
            <w:vAlign w:val="center"/>
          </w:tcPr>
          <w:p w14:paraId="6352AEBC" w14:textId="77777777" w:rsidR="00C94F73" w:rsidRPr="00FF14B7" w:rsidRDefault="00C94F73" w:rsidP="00C94F73">
            <w:pPr>
              <w:jc w:val="right"/>
              <w:rPr>
                <w:rFonts w:eastAsia="Times New Roman" w:cs="Times New Roman"/>
                <w:color w:val="9C6500"/>
                <w:sz w:val="18"/>
                <w:szCs w:val="16"/>
                <w:lang w:eastAsia="zh-CN"/>
              </w:rPr>
            </w:pPr>
            <w:r w:rsidRPr="00FF14B7">
              <w:rPr>
                <w:rFonts w:eastAsia="Times New Roman" w:cs="Times New Roman"/>
                <w:color w:val="9C6500"/>
                <w:sz w:val="18"/>
                <w:szCs w:val="16"/>
                <w:lang w:eastAsia="zh-CN"/>
              </w:rPr>
              <w:t>100%</w:t>
            </w:r>
          </w:p>
        </w:tc>
        <w:tc>
          <w:tcPr>
            <w:tcW w:w="1214" w:type="dxa"/>
            <w:shd w:val="clear" w:color="000000" w:fill="FFEB9C"/>
            <w:noWrap/>
            <w:vAlign w:val="center"/>
          </w:tcPr>
          <w:p w14:paraId="76065A41" w14:textId="77777777" w:rsidR="00C94F73" w:rsidRPr="00FF14B7" w:rsidRDefault="00C94F73" w:rsidP="00C94F73">
            <w:pPr>
              <w:jc w:val="right"/>
              <w:rPr>
                <w:rFonts w:eastAsia="Times New Roman" w:cs="Times New Roman"/>
                <w:color w:val="9C6500"/>
                <w:sz w:val="18"/>
                <w:szCs w:val="16"/>
                <w:lang w:eastAsia="zh-CN"/>
              </w:rPr>
            </w:pPr>
            <w:r w:rsidRPr="00FF14B7">
              <w:rPr>
                <w:rFonts w:eastAsia="Times New Roman" w:cs="Times New Roman"/>
                <w:color w:val="9C6500"/>
                <w:sz w:val="18"/>
                <w:szCs w:val="16"/>
                <w:lang w:eastAsia="zh-CN"/>
              </w:rPr>
              <w:t>1480728</w:t>
            </w:r>
          </w:p>
        </w:tc>
        <w:tc>
          <w:tcPr>
            <w:tcW w:w="853" w:type="dxa"/>
            <w:shd w:val="clear" w:color="000000" w:fill="FFEB9C"/>
            <w:noWrap/>
            <w:vAlign w:val="center"/>
          </w:tcPr>
          <w:p w14:paraId="6CC173DC" w14:textId="77777777" w:rsidR="00C94F73" w:rsidRPr="00FF14B7" w:rsidRDefault="00C94F73" w:rsidP="00C94F73">
            <w:pPr>
              <w:jc w:val="right"/>
              <w:rPr>
                <w:rFonts w:eastAsia="Times New Roman" w:cs="Times New Roman"/>
                <w:color w:val="9C6500"/>
                <w:sz w:val="18"/>
                <w:szCs w:val="16"/>
                <w:lang w:eastAsia="zh-CN"/>
              </w:rPr>
            </w:pPr>
            <w:r w:rsidRPr="00FF14B7">
              <w:rPr>
                <w:rFonts w:eastAsia="Times New Roman" w:cs="Times New Roman"/>
                <w:color w:val="9C6500"/>
                <w:sz w:val="18"/>
                <w:szCs w:val="16"/>
                <w:lang w:eastAsia="zh-CN"/>
              </w:rPr>
              <w:t>100%</w:t>
            </w:r>
          </w:p>
        </w:tc>
      </w:tr>
      <w:tr w:rsidR="00C94F73" w:rsidRPr="00FF14B7" w14:paraId="38C12403" w14:textId="77777777" w:rsidTr="00C85568">
        <w:trPr>
          <w:trHeight w:val="267"/>
        </w:trPr>
        <w:tc>
          <w:tcPr>
            <w:tcW w:w="2677" w:type="dxa"/>
            <w:shd w:val="clear" w:color="000000" w:fill="C6EFCE"/>
            <w:noWrap/>
            <w:vAlign w:val="center"/>
          </w:tcPr>
          <w:p w14:paraId="4E0EDB03" w14:textId="77777777" w:rsidR="00C94F73" w:rsidRPr="00FF14B7" w:rsidRDefault="00C94F73" w:rsidP="00C94F73">
            <w:pPr>
              <w:jc w:val="left"/>
              <w:rPr>
                <w:rFonts w:eastAsia="Times New Roman" w:cs="Times New Roman"/>
                <w:color w:val="006100"/>
                <w:sz w:val="18"/>
                <w:szCs w:val="16"/>
                <w:lang w:eastAsia="zh-CN"/>
              </w:rPr>
            </w:pPr>
            <w:r w:rsidRPr="00FF14B7">
              <w:rPr>
                <w:rFonts w:eastAsia="Times New Roman" w:cs="Times New Roman"/>
                <w:color w:val="006100"/>
                <w:sz w:val="18"/>
                <w:szCs w:val="16"/>
                <w:lang w:eastAsia="zh-CN"/>
              </w:rPr>
              <w:t>Total Consumable Energy</w:t>
            </w:r>
          </w:p>
        </w:tc>
        <w:tc>
          <w:tcPr>
            <w:tcW w:w="1323" w:type="dxa"/>
            <w:shd w:val="clear" w:color="000000" w:fill="C6EFCE"/>
            <w:noWrap/>
            <w:vAlign w:val="center"/>
          </w:tcPr>
          <w:p w14:paraId="2AF4E765"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40308</w:t>
            </w:r>
          </w:p>
        </w:tc>
        <w:tc>
          <w:tcPr>
            <w:tcW w:w="1084" w:type="dxa"/>
            <w:shd w:val="clear" w:color="000000" w:fill="C6EFCE"/>
            <w:noWrap/>
            <w:vAlign w:val="center"/>
          </w:tcPr>
          <w:p w14:paraId="105DD759"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w:t>
            </w:r>
          </w:p>
        </w:tc>
        <w:tc>
          <w:tcPr>
            <w:tcW w:w="1106" w:type="dxa"/>
            <w:shd w:val="clear" w:color="000000" w:fill="C6EFCE"/>
            <w:noWrap/>
            <w:vAlign w:val="center"/>
          </w:tcPr>
          <w:p w14:paraId="7B1B3A02"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68093</w:t>
            </w:r>
          </w:p>
        </w:tc>
        <w:tc>
          <w:tcPr>
            <w:tcW w:w="777" w:type="dxa"/>
            <w:shd w:val="clear" w:color="000000" w:fill="C6EFCE"/>
            <w:noWrap/>
            <w:vAlign w:val="center"/>
          </w:tcPr>
          <w:p w14:paraId="5E8D6645"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 -</w:t>
            </w:r>
          </w:p>
        </w:tc>
        <w:tc>
          <w:tcPr>
            <w:tcW w:w="1214" w:type="dxa"/>
            <w:shd w:val="clear" w:color="000000" w:fill="C6EFCE"/>
            <w:noWrap/>
            <w:vAlign w:val="center"/>
          </w:tcPr>
          <w:p w14:paraId="71995588"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68093</w:t>
            </w:r>
          </w:p>
        </w:tc>
        <w:tc>
          <w:tcPr>
            <w:tcW w:w="853" w:type="dxa"/>
            <w:shd w:val="clear" w:color="000000" w:fill="C6EFCE"/>
            <w:noWrap/>
            <w:vAlign w:val="center"/>
          </w:tcPr>
          <w:p w14:paraId="227334E6"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 -</w:t>
            </w:r>
          </w:p>
        </w:tc>
      </w:tr>
      <w:tr w:rsidR="00C94F73" w:rsidRPr="00FF14B7" w14:paraId="5B874FD9" w14:textId="77777777" w:rsidTr="00C85568">
        <w:trPr>
          <w:trHeight w:val="267"/>
        </w:trPr>
        <w:tc>
          <w:tcPr>
            <w:tcW w:w="2677" w:type="dxa"/>
            <w:shd w:val="clear" w:color="000000" w:fill="C6EFCE"/>
            <w:noWrap/>
            <w:vAlign w:val="center"/>
          </w:tcPr>
          <w:p w14:paraId="648F535D" w14:textId="77777777" w:rsidR="00C94F73" w:rsidRPr="00FF14B7" w:rsidRDefault="00C94F73" w:rsidP="00C94F73">
            <w:pPr>
              <w:jc w:val="left"/>
              <w:rPr>
                <w:rFonts w:eastAsia="Times New Roman" w:cs="Times New Roman"/>
                <w:color w:val="006100"/>
                <w:sz w:val="18"/>
                <w:szCs w:val="16"/>
                <w:lang w:eastAsia="zh-CN"/>
              </w:rPr>
            </w:pPr>
            <w:r w:rsidRPr="00FF14B7">
              <w:rPr>
                <w:rFonts w:eastAsia="Times New Roman" w:cs="Times New Roman"/>
                <w:color w:val="006100"/>
                <w:sz w:val="18"/>
                <w:szCs w:val="16"/>
                <w:lang w:eastAsia="zh-CN"/>
              </w:rPr>
              <w:t>Total Processing Energy</w:t>
            </w:r>
          </w:p>
        </w:tc>
        <w:tc>
          <w:tcPr>
            <w:tcW w:w="1323" w:type="dxa"/>
            <w:shd w:val="clear" w:color="000000" w:fill="C6EFCE"/>
            <w:noWrap/>
            <w:vAlign w:val="center"/>
          </w:tcPr>
          <w:p w14:paraId="697E138A"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86065</w:t>
            </w:r>
          </w:p>
        </w:tc>
        <w:tc>
          <w:tcPr>
            <w:tcW w:w="1084" w:type="dxa"/>
            <w:shd w:val="clear" w:color="000000" w:fill="C6EFCE"/>
            <w:noWrap/>
            <w:vAlign w:val="center"/>
          </w:tcPr>
          <w:p w14:paraId="24C07F88"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w:t>
            </w:r>
          </w:p>
        </w:tc>
        <w:tc>
          <w:tcPr>
            <w:tcW w:w="1106" w:type="dxa"/>
            <w:shd w:val="clear" w:color="000000" w:fill="C6EFCE"/>
            <w:noWrap/>
            <w:vAlign w:val="center"/>
          </w:tcPr>
          <w:p w14:paraId="07E95B8D"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80257</w:t>
            </w:r>
          </w:p>
        </w:tc>
        <w:tc>
          <w:tcPr>
            <w:tcW w:w="777" w:type="dxa"/>
            <w:shd w:val="clear" w:color="000000" w:fill="C6EFCE"/>
            <w:noWrap/>
            <w:vAlign w:val="center"/>
          </w:tcPr>
          <w:p w14:paraId="1E69ED37"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 -</w:t>
            </w:r>
          </w:p>
        </w:tc>
        <w:tc>
          <w:tcPr>
            <w:tcW w:w="1214" w:type="dxa"/>
            <w:shd w:val="clear" w:color="000000" w:fill="C6EFCE"/>
            <w:noWrap/>
            <w:vAlign w:val="center"/>
          </w:tcPr>
          <w:p w14:paraId="60BE2B46"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66033</w:t>
            </w:r>
          </w:p>
        </w:tc>
        <w:tc>
          <w:tcPr>
            <w:tcW w:w="853" w:type="dxa"/>
            <w:shd w:val="clear" w:color="000000" w:fill="C6EFCE"/>
            <w:noWrap/>
            <w:vAlign w:val="center"/>
          </w:tcPr>
          <w:p w14:paraId="7A8F0387" w14:textId="77777777" w:rsidR="00C94F73" w:rsidRPr="00FF14B7" w:rsidRDefault="00C94F73" w:rsidP="00C94F73">
            <w:pPr>
              <w:jc w:val="right"/>
              <w:rPr>
                <w:rFonts w:eastAsia="Times New Roman" w:cs="Times New Roman"/>
                <w:color w:val="006100"/>
                <w:sz w:val="18"/>
                <w:szCs w:val="16"/>
                <w:lang w:eastAsia="zh-CN"/>
              </w:rPr>
            </w:pPr>
            <w:r w:rsidRPr="00FF14B7">
              <w:rPr>
                <w:rFonts w:eastAsia="Times New Roman" w:cs="Times New Roman"/>
                <w:color w:val="006100"/>
                <w:sz w:val="18"/>
                <w:szCs w:val="16"/>
                <w:lang w:eastAsia="zh-CN"/>
              </w:rPr>
              <w:t> -</w:t>
            </w:r>
          </w:p>
        </w:tc>
      </w:tr>
      <w:tr w:rsidR="00C94F73" w:rsidRPr="00FF14B7" w14:paraId="34B11F40" w14:textId="77777777" w:rsidTr="00C85568">
        <w:trPr>
          <w:trHeight w:val="267"/>
        </w:trPr>
        <w:tc>
          <w:tcPr>
            <w:tcW w:w="2677" w:type="dxa"/>
            <w:shd w:val="clear" w:color="000000" w:fill="FFC7CE"/>
            <w:noWrap/>
            <w:vAlign w:val="center"/>
          </w:tcPr>
          <w:p w14:paraId="710F10C5" w14:textId="77777777" w:rsidR="00C94F73" w:rsidRPr="00FF14B7" w:rsidRDefault="00C94F73" w:rsidP="00C94F73">
            <w:pPr>
              <w:jc w:val="left"/>
              <w:rPr>
                <w:rFonts w:eastAsia="Times New Roman" w:cs="Times New Roman"/>
                <w:color w:val="9C0006"/>
                <w:sz w:val="18"/>
                <w:szCs w:val="16"/>
                <w:lang w:eastAsia="zh-CN"/>
              </w:rPr>
            </w:pPr>
            <w:r w:rsidRPr="00FF14B7">
              <w:rPr>
                <w:rFonts w:eastAsia="Times New Roman" w:cs="Times New Roman"/>
                <w:color w:val="9C0006"/>
                <w:sz w:val="18"/>
                <w:szCs w:val="16"/>
                <w:lang w:eastAsia="zh-CN"/>
              </w:rPr>
              <w:t>Total Energy in MJ</w:t>
            </w:r>
          </w:p>
        </w:tc>
        <w:tc>
          <w:tcPr>
            <w:tcW w:w="1323" w:type="dxa"/>
            <w:shd w:val="clear" w:color="000000" w:fill="FFC7CE"/>
            <w:noWrap/>
            <w:vAlign w:val="center"/>
          </w:tcPr>
          <w:p w14:paraId="6A0346B5"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834689</w:t>
            </w:r>
          </w:p>
        </w:tc>
        <w:tc>
          <w:tcPr>
            <w:tcW w:w="1084" w:type="dxa"/>
            <w:shd w:val="clear" w:color="000000" w:fill="FFC7CE"/>
            <w:noWrap/>
            <w:vAlign w:val="center"/>
          </w:tcPr>
          <w:p w14:paraId="1ABC7263"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 </w:t>
            </w:r>
            <w:r w:rsidRPr="00FF14B7">
              <w:rPr>
                <w:rFonts w:eastAsia="Times New Roman" w:cs="Times New Roman"/>
                <w:color w:val="006100"/>
                <w:sz w:val="18"/>
                <w:szCs w:val="16"/>
                <w:lang w:eastAsia="zh-CN"/>
              </w:rPr>
              <w:t>-</w:t>
            </w:r>
          </w:p>
        </w:tc>
        <w:tc>
          <w:tcPr>
            <w:tcW w:w="1106" w:type="dxa"/>
            <w:shd w:val="clear" w:color="000000" w:fill="FFC7CE"/>
            <w:noWrap/>
            <w:vAlign w:val="center"/>
          </w:tcPr>
          <w:p w14:paraId="4A7CF144"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1051082</w:t>
            </w:r>
          </w:p>
        </w:tc>
        <w:tc>
          <w:tcPr>
            <w:tcW w:w="777" w:type="dxa"/>
            <w:shd w:val="clear" w:color="000000" w:fill="FFC7CE"/>
            <w:noWrap/>
            <w:vAlign w:val="center"/>
          </w:tcPr>
          <w:p w14:paraId="3640AB79"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 </w:t>
            </w:r>
            <w:r w:rsidRPr="00FF14B7">
              <w:rPr>
                <w:rFonts w:eastAsia="Times New Roman" w:cs="Times New Roman"/>
                <w:color w:val="006100"/>
                <w:sz w:val="18"/>
                <w:szCs w:val="16"/>
                <w:lang w:eastAsia="zh-CN"/>
              </w:rPr>
              <w:t>-</w:t>
            </w:r>
          </w:p>
        </w:tc>
        <w:tc>
          <w:tcPr>
            <w:tcW w:w="1214" w:type="dxa"/>
            <w:shd w:val="clear" w:color="000000" w:fill="FFC7CE"/>
            <w:noWrap/>
            <w:vAlign w:val="center"/>
          </w:tcPr>
          <w:p w14:paraId="69FF1EC4"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1614854</w:t>
            </w:r>
          </w:p>
        </w:tc>
        <w:tc>
          <w:tcPr>
            <w:tcW w:w="853" w:type="dxa"/>
            <w:shd w:val="clear" w:color="000000" w:fill="FFC7CE"/>
            <w:noWrap/>
            <w:vAlign w:val="center"/>
          </w:tcPr>
          <w:p w14:paraId="7B4C2EEC"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 </w:t>
            </w:r>
            <w:r w:rsidRPr="00FF14B7">
              <w:rPr>
                <w:rFonts w:eastAsia="Times New Roman" w:cs="Times New Roman"/>
                <w:color w:val="006100"/>
                <w:sz w:val="18"/>
                <w:szCs w:val="16"/>
                <w:lang w:eastAsia="zh-CN"/>
              </w:rPr>
              <w:t>-</w:t>
            </w:r>
          </w:p>
        </w:tc>
      </w:tr>
      <w:tr w:rsidR="00C94F73" w:rsidRPr="00FF14B7" w14:paraId="6D9B737E" w14:textId="77777777" w:rsidTr="00C85568">
        <w:trPr>
          <w:trHeight w:val="267"/>
        </w:trPr>
        <w:tc>
          <w:tcPr>
            <w:tcW w:w="2677" w:type="dxa"/>
            <w:shd w:val="clear" w:color="000000" w:fill="FFC7CE"/>
            <w:noWrap/>
            <w:vAlign w:val="center"/>
          </w:tcPr>
          <w:p w14:paraId="0A08BC7C" w14:textId="77777777" w:rsidR="00C94F73" w:rsidRPr="00FF14B7" w:rsidRDefault="00C94F73" w:rsidP="00C94F73">
            <w:pPr>
              <w:jc w:val="left"/>
              <w:rPr>
                <w:rFonts w:eastAsia="Times New Roman" w:cs="Times New Roman"/>
                <w:color w:val="9C0006"/>
                <w:sz w:val="18"/>
                <w:szCs w:val="16"/>
                <w:lang w:eastAsia="zh-CN"/>
              </w:rPr>
            </w:pPr>
            <w:r w:rsidRPr="00FF14B7">
              <w:rPr>
                <w:rFonts w:eastAsia="Times New Roman" w:cs="Times New Roman"/>
                <w:color w:val="9C0006"/>
                <w:sz w:val="18"/>
                <w:szCs w:val="16"/>
                <w:lang w:eastAsia="zh-CN"/>
              </w:rPr>
              <w:t>Total Energy in GJ</w:t>
            </w:r>
          </w:p>
        </w:tc>
        <w:tc>
          <w:tcPr>
            <w:tcW w:w="1323" w:type="dxa"/>
            <w:shd w:val="clear" w:color="000000" w:fill="FFC7CE"/>
            <w:noWrap/>
            <w:vAlign w:val="center"/>
          </w:tcPr>
          <w:p w14:paraId="0C33998C"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834.7</w:t>
            </w:r>
          </w:p>
        </w:tc>
        <w:tc>
          <w:tcPr>
            <w:tcW w:w="1084" w:type="dxa"/>
            <w:shd w:val="clear" w:color="000000" w:fill="FFC7CE"/>
            <w:noWrap/>
            <w:vAlign w:val="center"/>
          </w:tcPr>
          <w:p w14:paraId="329641B0"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 </w:t>
            </w:r>
            <w:r w:rsidRPr="00FF14B7">
              <w:rPr>
                <w:rFonts w:eastAsia="Times New Roman" w:cs="Times New Roman"/>
                <w:color w:val="006100"/>
                <w:sz w:val="18"/>
                <w:szCs w:val="16"/>
                <w:lang w:eastAsia="zh-CN"/>
              </w:rPr>
              <w:t>-</w:t>
            </w:r>
          </w:p>
        </w:tc>
        <w:tc>
          <w:tcPr>
            <w:tcW w:w="1106" w:type="dxa"/>
            <w:shd w:val="clear" w:color="000000" w:fill="FFC7CE"/>
            <w:noWrap/>
            <w:vAlign w:val="center"/>
          </w:tcPr>
          <w:p w14:paraId="4962CEC2"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1051.1</w:t>
            </w:r>
          </w:p>
        </w:tc>
        <w:tc>
          <w:tcPr>
            <w:tcW w:w="777" w:type="dxa"/>
            <w:shd w:val="clear" w:color="000000" w:fill="FFC7CE"/>
            <w:noWrap/>
            <w:vAlign w:val="bottom"/>
          </w:tcPr>
          <w:p w14:paraId="6EA2CFCD"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 </w:t>
            </w:r>
            <w:r w:rsidRPr="00FF14B7">
              <w:rPr>
                <w:rFonts w:eastAsia="Times New Roman" w:cs="Times New Roman"/>
                <w:color w:val="006100"/>
                <w:sz w:val="18"/>
                <w:szCs w:val="16"/>
                <w:lang w:eastAsia="zh-CN"/>
              </w:rPr>
              <w:t>-</w:t>
            </w:r>
          </w:p>
        </w:tc>
        <w:tc>
          <w:tcPr>
            <w:tcW w:w="1214" w:type="dxa"/>
            <w:shd w:val="clear" w:color="000000" w:fill="FFC7CE"/>
            <w:noWrap/>
            <w:vAlign w:val="center"/>
          </w:tcPr>
          <w:p w14:paraId="770AD7D1"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1614.9</w:t>
            </w:r>
          </w:p>
        </w:tc>
        <w:tc>
          <w:tcPr>
            <w:tcW w:w="853" w:type="dxa"/>
            <w:shd w:val="clear" w:color="000000" w:fill="FFC7CE"/>
            <w:noWrap/>
            <w:vAlign w:val="center"/>
          </w:tcPr>
          <w:p w14:paraId="76065FF0" w14:textId="77777777" w:rsidR="00C94F73" w:rsidRPr="00FF14B7" w:rsidRDefault="00C94F73" w:rsidP="00C94F73">
            <w:pPr>
              <w:jc w:val="right"/>
              <w:rPr>
                <w:rFonts w:eastAsia="Times New Roman" w:cs="Times New Roman"/>
                <w:color w:val="9C0006"/>
                <w:sz w:val="18"/>
                <w:szCs w:val="16"/>
                <w:lang w:eastAsia="zh-CN"/>
              </w:rPr>
            </w:pPr>
            <w:r w:rsidRPr="00FF14B7">
              <w:rPr>
                <w:rFonts w:eastAsia="Times New Roman" w:cs="Times New Roman"/>
                <w:color w:val="9C0006"/>
                <w:sz w:val="18"/>
                <w:szCs w:val="16"/>
                <w:lang w:eastAsia="zh-CN"/>
              </w:rPr>
              <w:t> </w:t>
            </w:r>
            <w:r w:rsidRPr="00FF14B7">
              <w:rPr>
                <w:rFonts w:eastAsia="Times New Roman" w:cs="Times New Roman"/>
                <w:color w:val="006100"/>
                <w:sz w:val="18"/>
                <w:szCs w:val="16"/>
                <w:lang w:eastAsia="zh-CN"/>
              </w:rPr>
              <w:t>-</w:t>
            </w:r>
          </w:p>
        </w:tc>
      </w:tr>
      <w:tr w:rsidR="00C94F73" w:rsidRPr="00FF14B7" w14:paraId="020337E7" w14:textId="77777777" w:rsidTr="00C85568">
        <w:trPr>
          <w:trHeight w:val="267"/>
        </w:trPr>
        <w:tc>
          <w:tcPr>
            <w:tcW w:w="2677" w:type="dxa"/>
            <w:shd w:val="clear" w:color="auto" w:fill="auto"/>
            <w:noWrap/>
            <w:vAlign w:val="center"/>
          </w:tcPr>
          <w:p w14:paraId="7FAAABF8" w14:textId="77777777" w:rsidR="00C94F73" w:rsidRPr="00FF14B7" w:rsidRDefault="00C94F73" w:rsidP="00C94F73">
            <w:pPr>
              <w:jc w:val="left"/>
              <w:rPr>
                <w:rFonts w:eastAsia="Times New Roman" w:cs="Times New Roman"/>
                <w:color w:val="000000"/>
                <w:sz w:val="18"/>
                <w:szCs w:val="16"/>
                <w:lang w:eastAsia="zh-CN"/>
              </w:rPr>
            </w:pPr>
            <w:r w:rsidRPr="00FF14B7">
              <w:rPr>
                <w:rFonts w:eastAsia="Times New Roman" w:cs="Times New Roman"/>
                <w:color w:val="000000"/>
                <w:sz w:val="18"/>
                <w:szCs w:val="16"/>
                <w:lang w:eastAsia="zh-CN"/>
              </w:rPr>
              <w:t>Total Energy Compared to GF blade</w:t>
            </w:r>
          </w:p>
        </w:tc>
        <w:tc>
          <w:tcPr>
            <w:tcW w:w="1323" w:type="dxa"/>
            <w:shd w:val="clear" w:color="auto" w:fill="auto"/>
            <w:noWrap/>
            <w:vAlign w:val="center"/>
          </w:tcPr>
          <w:p w14:paraId="51944B65" w14:textId="77777777" w:rsidR="00C94F73" w:rsidRPr="00FF14B7" w:rsidRDefault="00C94F73" w:rsidP="00C94F73">
            <w:pPr>
              <w:jc w:val="left"/>
              <w:rPr>
                <w:rFonts w:eastAsia="Times New Roman" w:cs="Times New Roman"/>
                <w:color w:val="000000"/>
                <w:sz w:val="18"/>
                <w:szCs w:val="16"/>
                <w:lang w:eastAsia="zh-CN"/>
              </w:rPr>
            </w:pPr>
          </w:p>
        </w:tc>
        <w:tc>
          <w:tcPr>
            <w:tcW w:w="1084" w:type="dxa"/>
            <w:shd w:val="clear" w:color="auto" w:fill="auto"/>
            <w:noWrap/>
            <w:vAlign w:val="center"/>
          </w:tcPr>
          <w:p w14:paraId="411D36BC"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100%</w:t>
            </w:r>
          </w:p>
        </w:tc>
        <w:tc>
          <w:tcPr>
            <w:tcW w:w="1106" w:type="dxa"/>
            <w:shd w:val="clear" w:color="auto" w:fill="auto"/>
            <w:noWrap/>
            <w:vAlign w:val="bottom"/>
          </w:tcPr>
          <w:p w14:paraId="18C9AA5C" w14:textId="77777777" w:rsidR="00C94F73" w:rsidRPr="00FF14B7" w:rsidRDefault="00C94F73" w:rsidP="00C94F73">
            <w:pPr>
              <w:jc w:val="right"/>
              <w:rPr>
                <w:rFonts w:eastAsia="Times New Roman" w:cs="Times New Roman"/>
                <w:color w:val="000000"/>
                <w:sz w:val="18"/>
                <w:szCs w:val="16"/>
                <w:lang w:eastAsia="zh-CN"/>
              </w:rPr>
            </w:pPr>
          </w:p>
        </w:tc>
        <w:tc>
          <w:tcPr>
            <w:tcW w:w="777" w:type="dxa"/>
            <w:shd w:val="clear" w:color="auto" w:fill="auto"/>
            <w:noWrap/>
            <w:vAlign w:val="center"/>
          </w:tcPr>
          <w:p w14:paraId="0B9939A8"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126%</w:t>
            </w:r>
          </w:p>
        </w:tc>
        <w:tc>
          <w:tcPr>
            <w:tcW w:w="1214" w:type="dxa"/>
            <w:shd w:val="clear" w:color="auto" w:fill="auto"/>
            <w:noWrap/>
            <w:vAlign w:val="center"/>
          </w:tcPr>
          <w:p w14:paraId="10459848" w14:textId="77777777" w:rsidR="00C94F73" w:rsidRPr="00FF14B7" w:rsidRDefault="00C94F73" w:rsidP="00C94F73">
            <w:pPr>
              <w:jc w:val="right"/>
              <w:rPr>
                <w:rFonts w:eastAsia="Times New Roman" w:cs="Times New Roman"/>
                <w:color w:val="000000"/>
                <w:sz w:val="18"/>
                <w:szCs w:val="16"/>
                <w:lang w:eastAsia="zh-CN"/>
              </w:rPr>
            </w:pPr>
          </w:p>
        </w:tc>
        <w:tc>
          <w:tcPr>
            <w:tcW w:w="853" w:type="dxa"/>
            <w:shd w:val="clear" w:color="auto" w:fill="auto"/>
            <w:noWrap/>
            <w:vAlign w:val="center"/>
          </w:tcPr>
          <w:p w14:paraId="58EFC91D" w14:textId="77777777" w:rsidR="00C94F73" w:rsidRPr="00FF14B7" w:rsidRDefault="00C94F73" w:rsidP="00C94F73">
            <w:pPr>
              <w:jc w:val="right"/>
              <w:rPr>
                <w:rFonts w:eastAsia="Times New Roman" w:cs="Times New Roman"/>
                <w:color w:val="000000"/>
                <w:sz w:val="18"/>
                <w:szCs w:val="16"/>
                <w:lang w:eastAsia="zh-CN"/>
              </w:rPr>
            </w:pPr>
            <w:r w:rsidRPr="00FF14B7">
              <w:rPr>
                <w:rFonts w:eastAsia="Times New Roman" w:cs="Times New Roman"/>
                <w:color w:val="000000"/>
                <w:sz w:val="18"/>
                <w:szCs w:val="16"/>
                <w:lang w:eastAsia="zh-CN"/>
              </w:rPr>
              <w:t>193%</w:t>
            </w:r>
          </w:p>
        </w:tc>
      </w:tr>
    </w:tbl>
    <w:p w14:paraId="50844EA4" w14:textId="77777777" w:rsidR="00B44120" w:rsidRPr="00B44120" w:rsidRDefault="00B44120" w:rsidP="0022044B">
      <w:pPr>
        <w:pStyle w:val="Caption"/>
      </w:pPr>
      <w:r w:rsidRPr="002A6DBD">
        <w:t>Table</w:t>
      </w:r>
      <w:r>
        <w:t xml:space="preserve"> </w:t>
      </w:r>
      <w:r w:rsidR="00107EB7">
        <w:fldChar w:fldCharType="begin"/>
      </w:r>
      <w:r w:rsidR="00377D2D">
        <w:instrText xml:space="preserve"> SEQ Table \* ARABIC </w:instrText>
      </w:r>
      <w:r w:rsidR="00107EB7">
        <w:fldChar w:fldCharType="separate"/>
      </w:r>
      <w:r w:rsidR="00CB61A7">
        <w:rPr>
          <w:noProof/>
        </w:rPr>
        <w:t>2</w:t>
      </w:r>
      <w:r w:rsidR="00107EB7">
        <w:rPr>
          <w:noProof/>
        </w:rPr>
        <w:fldChar w:fldCharType="end"/>
      </w:r>
      <w:r>
        <w:t>:</w:t>
      </w:r>
      <w:r w:rsidRPr="002A6DBD">
        <w:rPr>
          <w:rFonts w:hint="eastAsia"/>
        </w:rPr>
        <w:t xml:space="preserve"> </w:t>
      </w:r>
      <w:r>
        <w:rPr>
          <w:rFonts w:hint="eastAsia"/>
        </w:rPr>
        <w:t>Manu</w:t>
      </w:r>
      <w:r>
        <w:t>facturing impact details of GF, Hybrid and CF blade models</w:t>
      </w:r>
      <w:r w:rsidR="00CC347B">
        <w:t xml:space="preserve">; </w:t>
      </w:r>
      <w:r w:rsidR="00CC347B" w:rsidRPr="00CC347B">
        <w:t xml:space="preserve">GF blade is model 45.2A; Hybrid blade is DW93; </w:t>
      </w:r>
      <w:r w:rsidR="00294360">
        <w:t xml:space="preserve">CF blade is modelled </w:t>
      </w:r>
      <w:r w:rsidR="00CC347B">
        <w:t>based on DW93; all</w:t>
      </w:r>
      <w:r w:rsidR="00CC347B" w:rsidRPr="00CC347B">
        <w:t xml:space="preserve"> from </w:t>
      </w:r>
      <w:proofErr w:type="spellStart"/>
      <w:r w:rsidR="00CC347B" w:rsidRPr="00CC347B">
        <w:t>Sinomatech</w:t>
      </w:r>
      <w:proofErr w:type="spellEnd"/>
      <w:r w:rsidR="00CC347B" w:rsidRPr="00CC347B">
        <w:t>.</w:t>
      </w:r>
    </w:p>
    <w:p w14:paraId="7EC9CC7B" w14:textId="4A8F5D77" w:rsidR="00294360" w:rsidRPr="00B44120" w:rsidRDefault="00CA6E41" w:rsidP="00B44120">
      <w:pPr>
        <w:tabs>
          <w:tab w:val="left" w:pos="851"/>
        </w:tabs>
        <w:spacing w:before="120" w:line="360" w:lineRule="auto"/>
        <w:rPr>
          <w:rFonts w:ascii="Helvetica" w:eastAsia="Times New Roman" w:hAnsi="Helvetica" w:cs="Times New Roman"/>
          <w:sz w:val="22"/>
          <w:szCs w:val="22"/>
          <w:lang w:eastAsia="en-GB"/>
        </w:rPr>
      </w:pPr>
      <w:r>
        <w:rPr>
          <w:rFonts w:ascii="Helvetica" w:eastAsia="Times New Roman" w:hAnsi="Helvetica" w:cs="Times New Roman"/>
          <w:sz w:val="22"/>
          <w:szCs w:val="22"/>
          <w:lang w:eastAsia="en-GB"/>
        </w:rPr>
        <w:t>T</w:t>
      </w:r>
      <w:r w:rsidR="00B44120" w:rsidRPr="00B44120">
        <w:rPr>
          <w:rFonts w:ascii="Helvetica" w:eastAsia="Times New Roman" w:hAnsi="Helvetica" w:cs="Times New Roman"/>
          <w:sz w:val="22"/>
          <w:szCs w:val="22"/>
          <w:lang w:eastAsia="en-GB"/>
        </w:rPr>
        <w:t xml:space="preserve">he environmental impact </w:t>
      </w:r>
      <w:r w:rsidR="00843ADC">
        <w:rPr>
          <w:rFonts w:ascii="Helvetica" w:eastAsia="Times New Roman" w:hAnsi="Helvetica" w:cs="Times New Roman"/>
          <w:sz w:val="22"/>
          <w:szCs w:val="22"/>
          <w:lang w:eastAsia="en-GB"/>
        </w:rPr>
        <w:t>from</w:t>
      </w:r>
      <w:r w:rsidR="00843ADC" w:rsidRPr="00B44120">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sz w:val="22"/>
          <w:szCs w:val="22"/>
          <w:lang w:eastAsia="en-GB"/>
        </w:rPr>
        <w:t>the transportation and O&amp;M stage</w:t>
      </w:r>
      <w:r>
        <w:rPr>
          <w:rFonts w:ascii="Helvetica" w:eastAsia="Times New Roman" w:hAnsi="Helvetica" w:cs="Times New Roman"/>
          <w:sz w:val="22"/>
          <w:szCs w:val="22"/>
          <w:lang w:eastAsia="en-GB"/>
        </w:rPr>
        <w:t>s are then estimated</w:t>
      </w:r>
      <w:r w:rsidR="00B44120" w:rsidRPr="00B44120">
        <w:rPr>
          <w:rFonts w:ascii="Helvetica" w:eastAsia="Times New Roman" w:hAnsi="Helvetica" w:cs="Times New Roman"/>
          <w:sz w:val="22"/>
          <w:szCs w:val="22"/>
          <w:lang w:eastAsia="en-GB"/>
        </w:rPr>
        <w:t xml:space="preserve">. </w:t>
      </w:r>
      <w:r w:rsidR="00A602DD">
        <w:rPr>
          <w:rFonts w:ascii="Helvetica" w:eastAsia="Times New Roman" w:hAnsi="Helvetica" w:cs="Times New Roman"/>
          <w:sz w:val="22"/>
          <w:szCs w:val="22"/>
          <w:lang w:eastAsia="en-GB"/>
        </w:rPr>
        <w:t>P</w:t>
      </w:r>
      <w:r w:rsidR="009E5587" w:rsidRPr="009E5587">
        <w:rPr>
          <w:rFonts w:ascii="Helvetica" w:eastAsia="Times New Roman" w:hAnsi="Helvetica" w:cs="Times New Roman" w:hint="eastAsia"/>
          <w:color w:val="000000" w:themeColor="text1"/>
          <w:sz w:val="22"/>
          <w:szCs w:val="22"/>
        </w:rPr>
        <w:t>revious</w:t>
      </w:r>
      <w:r w:rsidR="009E5587" w:rsidRPr="009E5587">
        <w:rPr>
          <w:rFonts w:ascii="Helvetica" w:eastAsia="Times New Roman" w:hAnsi="Helvetica" w:cs="Times New Roman"/>
          <w:color w:val="000000" w:themeColor="text1"/>
          <w:sz w:val="22"/>
          <w:szCs w:val="22"/>
        </w:rPr>
        <w:t xml:space="preserve"> studies</w:t>
      </w:r>
      <w:r w:rsidR="00C83FF1">
        <w:rPr>
          <w:rFonts w:ascii="Helvetica" w:eastAsia="Times New Roman" w:hAnsi="Helvetica" w:cs="Times New Roman"/>
          <w:color w:val="000000" w:themeColor="text1"/>
          <w:sz w:val="22"/>
          <w:szCs w:val="22"/>
        </w:rPr>
        <w:t xml:space="preserve"> </w:t>
      </w:r>
      <w:r w:rsidR="00107EB7">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10.1088/1757-899X/139/1/012032","ISSN":"1757-8981","author":[{"dropping-particle":"","family":"Liu","given":"P","non-dropping-particle":"","parse-names":false,"suffix":""},{"dropping-particle":"","family":"Barlow","given":"C","non-dropping-particle":"","parse-names":false,"suffix":""}],"container-title":"IOP Conference Series: Materials Science and Engineering","id":"ITEM-1","issued":{"date-parts":[["2016"]]},"page":"012032","title":"The environmental impact of wind turbine blades","type":"article-journal","volume":"139"},"uris":["http://www.mendeley.com/documents/?uuid=798fdd3f-bf48-4a3b-ab77-c97314400066"]}],"mendeley":{"formattedCitation":"(Liu and Barlow, 2016)","plainTextFormattedCitation":"(Liu and Barlow, 2016)","previouslyFormattedCitation":"(Liu and Barlow, 2016)"},"properties":{"noteIndex":0},"schema":"https://github.com/citation-style-language/schema/raw/master/csl-citation.json"}</w:instrText>
      </w:r>
      <w:r w:rsidR="00107EB7">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(Liu and Barlow, 2016)</w:t>
      </w:r>
      <w:r w:rsidR="00107EB7">
        <w:rPr>
          <w:rFonts w:ascii="Helvetica" w:eastAsia="Times New Roman" w:hAnsi="Helvetica" w:cs="Times New Roman"/>
          <w:sz w:val="22"/>
          <w:szCs w:val="22"/>
          <w:lang w:eastAsia="en-GB"/>
        </w:rPr>
        <w:fldChar w:fldCharType="end"/>
      </w:r>
      <w:r w:rsidR="00C83FF1">
        <w:rPr>
          <w:rFonts w:ascii="Helvetica" w:eastAsia="Times New Roman" w:hAnsi="Helvetica" w:cs="Times New Roman"/>
          <w:sz w:val="22"/>
          <w:szCs w:val="22"/>
          <w:lang w:eastAsia="en-GB"/>
        </w:rPr>
        <w:t xml:space="preserve"> showed that</w:t>
      </w:r>
      <w:r w:rsidR="00B44120" w:rsidRPr="00B44120">
        <w:rPr>
          <w:rFonts w:ascii="Helvetica" w:eastAsia="Times New Roman" w:hAnsi="Helvetica" w:cs="Times New Roman"/>
          <w:sz w:val="22"/>
          <w:szCs w:val="22"/>
          <w:lang w:eastAsia="en-GB"/>
        </w:rPr>
        <w:t xml:space="preserve"> the impact from transportation is between 1</w:t>
      </w:r>
      <w:r w:rsidR="00B44120" w:rsidRPr="00B44120">
        <w:rPr>
          <w:rFonts w:ascii="Helvetica" w:eastAsia="Times New Roman" w:hAnsi="Helvetica" w:cs="Times New Roman" w:hint="eastAsia"/>
          <w:sz w:val="22"/>
          <w:szCs w:val="22"/>
          <w:lang w:eastAsia="en-GB"/>
        </w:rPr>
        <w:t xml:space="preserve"> GJ</w:t>
      </w:r>
      <w:r w:rsidR="00B44120" w:rsidRPr="00B44120">
        <w:rPr>
          <w:rFonts w:ascii="Helvetica" w:eastAsia="Times New Roman" w:hAnsi="Helvetica" w:cs="Times New Roman"/>
          <w:sz w:val="22"/>
          <w:szCs w:val="22"/>
          <w:lang w:eastAsia="en-GB"/>
        </w:rPr>
        <w:t xml:space="preserve"> and 40 GJ per blade</w:t>
      </w:r>
      <w:r w:rsidR="00C83FF1">
        <w:rPr>
          <w:rFonts w:ascii="Helvetica" w:eastAsia="Times New Roman" w:hAnsi="Helvetica" w:cs="Times New Roman"/>
          <w:sz w:val="22"/>
          <w:szCs w:val="22"/>
          <w:lang w:eastAsia="en-GB"/>
        </w:rPr>
        <w:t>,</w:t>
      </w:r>
      <w:r w:rsidR="00B44120" w:rsidRPr="00B44120">
        <w:rPr>
          <w:rFonts w:ascii="Helvetica" w:eastAsia="Times New Roman" w:hAnsi="Helvetica" w:cs="Times New Roman"/>
          <w:sz w:val="22"/>
          <w:szCs w:val="22"/>
          <w:lang w:eastAsia="en-GB"/>
        </w:rPr>
        <w:t xml:space="preserve"> dependent upon the mode of transportation and the distance. </w:t>
      </w:r>
      <w:r w:rsidR="00A602DD">
        <w:rPr>
          <w:rFonts w:ascii="Helvetica" w:eastAsia="Times New Roman" w:hAnsi="Helvetica" w:cs="Times New Roman"/>
          <w:sz w:val="22"/>
          <w:szCs w:val="22"/>
          <w:lang w:eastAsia="en-GB"/>
        </w:rPr>
        <w:t>Since this</w:t>
      </w:r>
      <w:r w:rsidR="00B44120" w:rsidRPr="00B44120">
        <w:rPr>
          <w:rFonts w:ascii="Helvetica" w:eastAsia="Times New Roman" w:hAnsi="Helvetica" w:cs="Times New Roman"/>
          <w:sz w:val="22"/>
          <w:szCs w:val="22"/>
          <w:lang w:eastAsia="en-GB"/>
        </w:rPr>
        <w:t xml:space="preserve"> is quite small compared to other energy consumption</w:t>
      </w:r>
      <w:r w:rsidR="00A602DD">
        <w:rPr>
          <w:rFonts w:ascii="Helvetica" w:eastAsia="Times New Roman" w:hAnsi="Helvetica" w:cs="Times New Roman"/>
          <w:sz w:val="22"/>
          <w:szCs w:val="22"/>
          <w:lang w:eastAsia="en-GB"/>
        </w:rPr>
        <w:t>s</w:t>
      </w:r>
      <w:r w:rsidR="00B44120" w:rsidRPr="00B44120">
        <w:rPr>
          <w:rFonts w:ascii="Helvetica" w:eastAsia="Times New Roman" w:hAnsi="Helvetica" w:cs="Times New Roman"/>
          <w:sz w:val="22"/>
          <w:szCs w:val="22"/>
          <w:lang w:eastAsia="en-GB"/>
        </w:rPr>
        <w:t xml:space="preserve"> and is not the key variable here, </w:t>
      </w:r>
      <w:r w:rsidR="00B44120" w:rsidRPr="00B44120">
        <w:rPr>
          <w:rFonts w:ascii="Helvetica" w:eastAsia="Times New Roman" w:hAnsi="Helvetica" w:cs="Times New Roman" w:hint="eastAsia"/>
          <w:sz w:val="22"/>
          <w:szCs w:val="22"/>
          <w:lang w:eastAsia="en-GB"/>
        </w:rPr>
        <w:t>a</w:t>
      </w:r>
      <w:r w:rsidR="00B44120" w:rsidRPr="00B44120">
        <w:rPr>
          <w:rFonts w:ascii="Helvetica" w:eastAsia="Times New Roman" w:hAnsi="Helvetica" w:cs="Times New Roman"/>
          <w:sz w:val="22"/>
          <w:szCs w:val="22"/>
          <w:lang w:eastAsia="en-GB"/>
        </w:rPr>
        <w:t xml:space="preserve">n average value of 20 GJ is adopted. </w:t>
      </w:r>
      <w:r w:rsidR="00F342FF">
        <w:rPr>
          <w:rFonts w:ascii="Helvetica" w:eastAsia="Times New Roman" w:hAnsi="Helvetica" w:cs="Times New Roman"/>
          <w:sz w:val="22"/>
          <w:szCs w:val="22"/>
          <w:lang w:eastAsia="en-GB"/>
        </w:rPr>
        <w:t>The O&amp;M impact has been estimated using two factors: materials and transportation of repair workers. The materials</w:t>
      </w:r>
      <w:r w:rsidR="00B44120" w:rsidRPr="00B44120">
        <w:rPr>
          <w:rFonts w:ascii="Helvetica" w:eastAsia="Times New Roman" w:hAnsi="Helvetica" w:cs="Times New Roman"/>
          <w:sz w:val="22"/>
          <w:szCs w:val="22"/>
          <w:lang w:eastAsia="en-GB"/>
        </w:rPr>
        <w:t xml:space="preserve"> </w:t>
      </w:r>
      <w:r w:rsidR="00F342FF">
        <w:rPr>
          <w:rFonts w:ascii="Helvetica" w:eastAsia="Times New Roman" w:hAnsi="Helvetica" w:cs="Times New Roman"/>
          <w:sz w:val="22"/>
          <w:szCs w:val="22"/>
          <w:lang w:eastAsia="en-GB"/>
        </w:rPr>
        <w:t>requirement</w:t>
      </w:r>
      <w:r w:rsidR="00F342FF" w:rsidRPr="00B44120">
        <w:rPr>
          <w:rFonts w:ascii="Helvetica" w:eastAsia="Times New Roman" w:hAnsi="Helvetica" w:cs="Times New Roman"/>
          <w:sz w:val="22"/>
          <w:szCs w:val="22"/>
          <w:lang w:eastAsia="en-GB"/>
        </w:rPr>
        <w:t xml:space="preserve"> </w:t>
      </w:r>
      <w:r w:rsidR="0064300B">
        <w:rPr>
          <w:rFonts w:ascii="Helvetica" w:eastAsia="Times New Roman" w:hAnsi="Helvetica" w:cs="Times New Roman"/>
          <w:sz w:val="22"/>
          <w:szCs w:val="22"/>
          <w:lang w:eastAsia="en-GB"/>
        </w:rPr>
        <w:t xml:space="preserve">has been set at an average level </w:t>
      </w:r>
      <w:r w:rsidR="00B44120" w:rsidRPr="00B44120">
        <w:rPr>
          <w:rFonts w:ascii="Helvetica" w:eastAsia="Times New Roman" w:hAnsi="Helvetica" w:cs="Times New Roman"/>
          <w:sz w:val="22"/>
          <w:szCs w:val="22"/>
          <w:lang w:eastAsia="en-GB"/>
        </w:rPr>
        <w:t xml:space="preserve">in which the amount of repair material required is 3% of the finished blade mass. The materials used in repair work consist of 60% fibre and 40% resin by weight. </w:t>
      </w:r>
      <w:r w:rsidR="00F342FF">
        <w:rPr>
          <w:rFonts w:ascii="Helvetica" w:eastAsia="Times New Roman" w:hAnsi="Helvetica" w:cs="Times New Roman"/>
          <w:sz w:val="22"/>
          <w:szCs w:val="22"/>
          <w:lang w:eastAsia="en-GB"/>
        </w:rPr>
        <w:t>T</w:t>
      </w:r>
      <w:r w:rsidR="00F342FF" w:rsidRPr="00B44120">
        <w:rPr>
          <w:rFonts w:ascii="Helvetica" w:eastAsia="Times New Roman" w:hAnsi="Helvetica" w:cs="Times New Roman"/>
          <w:sz w:val="22"/>
          <w:szCs w:val="22"/>
          <w:lang w:eastAsia="en-GB"/>
        </w:rPr>
        <w:t xml:space="preserve">he O&amp;M material impact </w:t>
      </w:r>
      <w:r w:rsidR="00F342FF">
        <w:rPr>
          <w:rFonts w:ascii="Helvetica" w:eastAsia="Times New Roman" w:hAnsi="Helvetica" w:cs="Times New Roman"/>
          <w:sz w:val="22"/>
          <w:szCs w:val="22"/>
          <w:lang w:eastAsia="en-GB"/>
        </w:rPr>
        <w:t>is</w:t>
      </w:r>
      <w:r w:rsidR="00F342FF" w:rsidRPr="00B44120">
        <w:rPr>
          <w:rFonts w:ascii="Helvetica" w:eastAsia="Times New Roman" w:hAnsi="Helvetica" w:cs="Times New Roman"/>
          <w:sz w:val="22"/>
          <w:szCs w:val="22"/>
          <w:lang w:eastAsia="en-GB"/>
        </w:rPr>
        <w:t xml:space="preserve"> calculated</w:t>
      </w:r>
      <w:r w:rsidR="00F342FF">
        <w:rPr>
          <w:rFonts w:ascii="Helvetica" w:eastAsia="Times New Roman" w:hAnsi="Helvetica" w:cs="Times New Roman"/>
          <w:sz w:val="22"/>
          <w:szCs w:val="22"/>
          <w:lang w:eastAsia="en-GB"/>
        </w:rPr>
        <w:t xml:space="preserve"> u</w:t>
      </w:r>
      <w:r w:rsidR="00B44120" w:rsidRPr="00B44120">
        <w:rPr>
          <w:rFonts w:ascii="Helvetica" w:eastAsia="Times New Roman" w:hAnsi="Helvetica" w:cs="Times New Roman"/>
          <w:sz w:val="22"/>
          <w:szCs w:val="22"/>
          <w:lang w:eastAsia="en-GB"/>
        </w:rPr>
        <w:t xml:space="preserve">sing the material consumption multiplied by its unit environmental impact. </w:t>
      </w:r>
      <w:r w:rsidR="004F784E">
        <w:rPr>
          <w:rFonts w:ascii="Helvetica" w:eastAsia="Times New Roman" w:hAnsi="Helvetica" w:cs="Times New Roman"/>
          <w:sz w:val="22"/>
          <w:szCs w:val="22"/>
          <w:lang w:eastAsia="en-GB"/>
        </w:rPr>
        <w:t>For transportation, t</w:t>
      </w:r>
      <w:r w:rsidR="00B44120" w:rsidRPr="00B44120">
        <w:rPr>
          <w:rFonts w:ascii="Helvetica" w:eastAsia="Times New Roman" w:hAnsi="Helvetica" w:cs="Times New Roman"/>
          <w:sz w:val="22"/>
          <w:szCs w:val="22"/>
          <w:lang w:eastAsia="en-GB"/>
        </w:rPr>
        <w:t xml:space="preserve">ypically, a four person group is the most common size for routine blade maintenance and repair and one mid-size pickup truck is used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Zhang","given":"Zhida","non-dropping-particle":"","parse-names":false,"suffix":""}],"container-title":"KahnWind","id":"ITEM-1","issued":{"date-parts":[["2016"]]},"publisher":"KahnWind","publisher-place":"Beijing","title":"Technical director of O&amp;M service provider-Kahn Wind, Personal Communication","type":"article"},"uris":["http://www.mendeley.com/documents/?uuid=a412dc1a-bb1f-4e52-8b09-441cb3b7096a"]}],"mendeley":{"formattedCitation":"(Zhang, 2016)","plainTextFormattedCitation":"(Zhang, 2016)","previouslyFormattedCitation":"(Zhang, 2016)"},"properties":{"noteIndex":0},"schema":"https://github.com/citation-style-language/schema/raw/master/csl-citation.json"}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(Zhang, 2016)</w:t>
      </w:r>
      <w:r w:rsidR="00107EB7" w:rsidRPr="00B44120">
        <w:rPr>
          <w:rFonts w:ascii="Helvetica" w:eastAsia="Times New Roman" w:hAnsi="Helvetica" w:cs="Times New Roman"/>
          <w:sz w:val="22"/>
          <w:szCs w:val="22"/>
          <w:lang w:eastAsia="en-GB"/>
        </w:rPr>
        <w:fldChar w:fldCharType="end"/>
      </w:r>
      <w:r w:rsidR="00B44120" w:rsidRPr="00B44120">
        <w:rPr>
          <w:rFonts w:ascii="Helvetica" w:eastAsia="Times New Roman" w:hAnsi="Helvetica" w:cs="Times New Roman"/>
          <w:sz w:val="22"/>
          <w:szCs w:val="22"/>
          <w:lang w:eastAsia="en-GB"/>
        </w:rPr>
        <w:t xml:space="preserve">. </w:t>
      </w:r>
      <w:r w:rsidR="0064300B">
        <w:rPr>
          <w:rFonts w:ascii="Helvetica" w:eastAsia="Times New Roman" w:hAnsi="Helvetica" w:cs="Times New Roman"/>
          <w:sz w:val="22"/>
          <w:szCs w:val="22"/>
          <w:lang w:eastAsia="en-GB"/>
        </w:rPr>
        <w:t>W</w:t>
      </w:r>
      <w:r w:rsidR="00B44120" w:rsidRPr="00B44120">
        <w:rPr>
          <w:rFonts w:ascii="Helvetica" w:eastAsia="Times New Roman" w:hAnsi="Helvetica" w:cs="Times New Roman"/>
          <w:sz w:val="22"/>
          <w:szCs w:val="22"/>
          <w:lang w:eastAsia="en-GB"/>
        </w:rPr>
        <w:t xml:space="preserve">e assume there are five major repair </w:t>
      </w:r>
      <w:r w:rsidR="00CD3357">
        <w:rPr>
          <w:rFonts w:ascii="Helvetica" w:eastAsia="Times New Roman" w:hAnsi="Helvetica" w:cs="Times New Roman"/>
          <w:sz w:val="22"/>
          <w:szCs w:val="22"/>
          <w:lang w:eastAsia="en-GB"/>
        </w:rPr>
        <w:t>interventions</w:t>
      </w:r>
      <w:r w:rsidR="00CD3357" w:rsidRPr="00B44120">
        <w:rPr>
          <w:rFonts w:ascii="Helvetica" w:eastAsia="Times New Roman" w:hAnsi="Helvetica" w:cs="Times New Roman"/>
          <w:sz w:val="22"/>
          <w:szCs w:val="22"/>
          <w:lang w:eastAsia="en-GB"/>
        </w:rPr>
        <w:t xml:space="preserve"> </w:t>
      </w:r>
      <w:r w:rsidR="00B44120" w:rsidRPr="00B44120">
        <w:rPr>
          <w:rFonts w:ascii="Helvetica" w:eastAsia="Times New Roman" w:hAnsi="Helvetica" w:cs="Times New Roman"/>
          <w:sz w:val="22"/>
          <w:szCs w:val="22"/>
          <w:lang w:eastAsia="en-GB"/>
        </w:rPr>
        <w:t xml:space="preserve">for each blade during its lifetime and that the workers travel a 100 km round trip each time. Based on these, the energy consumption of an O&amp;M car is then calculated as 1.6 GJ per blade (from 325 MJ/100 km for a typical diesel pickup truck,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{"citationItems":[{"id":"ITEM-1","itemData":{"DOI":"10.2791/63451","ISBN":"978-92-79-07694-7","abstract":"This report on “Environmental improvement potential of passenger cars” is the second scientific JRC’s contribution to the European Commission’s Integrated Product Policy framework which seeks to minimise the environmental degradation caused the life cycle of products. A previous study coordinated by the JRC (EIPRO study) had shown that private transport is responsible for 20% to 30% of the environmental impact of private consumption in the EU. This report presents a systematic overview of the life cycle of cars, from cradle to crave. It also provides a comprehensive analysis of the technical improvement options that could be achieved in each stage of a car’s life cycle and which could be marketed within the next two decades. The report assesses the different options, their environmental benefits, their cost-effectiveness, their trade-offs, and the socio-economic barriers that these options would have to face. The report has focused on the technical improvements related to the design of cars, such as the reduction of weight, improvement of the power train, reduction of rolling resistance of tyres. It also analyses improvements that rely on the driver’s behaviour as speed control and eco-driving. The report examines each of the options taking into account the technical potential, the existing legislation and policy developments, and the barriers and drivers for the implementation of the different options. The study presents the consequences that the adoption of these options might have on the environment such as globalwarming, generation of solid waste, acidification, energy","author":[{"dropping-particle":"","family":"Nemry","given":"Françoise","non-dropping-particle":"","parse-names":false,"suffix":""},{"dropping-particle":"","family":"Leduc","given":"Guillaume","non-dropping-particle":"","parse-names":false,"suffix":""},{"dropping-particle":"","family":"Mongelli","given":"I","non-dropping-particle":"","parse-names":false,"suffix":""},{"dropping-particle":"","family":"Uihlein","given":"Andreas","non-dropping-particle":"","parse-names":false,"suffix":""}],"id":"ITEM-1","issue":"EUR 23038 EN","issued":{"date-parts":[["2008"]]},"number-of-pages":"216","title":"Environmental Improvement of Passenger Cars (IMPRO-car)","type":"report"},"uris":["http://www.mendeley.com/documents/?uuid=1bccc9ab-3d01-4518-97eb-148a542033c9"]}],"mendeley":{"formattedCitation":"(Nemry et al., 2008)","manualFormatting":"Nemry et al. 2008)","plainTextFormattedCitation":"(Nemry et al., 2008)","previouslyFormattedCitation":"(Nemry et al., 2008)"},"properties":{"noteIndex":0},"schema":"https://github.com/citation-style-language/schema/raw/master/csl-citation.json"}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44120" w:rsidRPr="00B44120">
        <w:rPr>
          <w:rFonts w:ascii="Helvetica" w:eastAsia="Times New Roman" w:hAnsi="Helvetica" w:cs="Times New Roman"/>
          <w:noProof/>
          <w:sz w:val="22"/>
          <w:szCs w:val="22"/>
          <w:lang w:eastAsia="en-GB"/>
        </w:rPr>
        <w:t>Nemry et al. 2008)</w:t>
      </w:r>
      <w:r w:rsidR="00107EB7" w:rsidRPr="00B44120">
        <w:rPr>
          <w:rFonts w:ascii="Helvetica" w:eastAsia="Times New Roman" w:hAnsi="Helvetica" w:cs="Times New Roman"/>
          <w:sz w:val="22"/>
          <w:szCs w:val="22"/>
          <w:lang w:eastAsia="en-GB"/>
        </w:rPr>
        <w:fldChar w:fldCharType="end"/>
      </w:r>
      <w:r w:rsidR="00B44120" w:rsidRPr="00B44120">
        <w:rPr>
          <w:rFonts w:ascii="Helvetica" w:eastAsia="Times New Roman" w:hAnsi="Helvetica" w:cs="Times New Roman"/>
          <w:sz w:val="22"/>
          <w:szCs w:val="22"/>
          <w:lang w:eastAsia="en-GB"/>
        </w:rPr>
        <w:t xml:space="preserve">. Detailed lifetime impacts of </w:t>
      </w:r>
      <w:r w:rsidR="00CD3357">
        <w:rPr>
          <w:rFonts w:ascii="Helvetica" w:eastAsia="Times New Roman" w:hAnsi="Helvetica" w:cs="Times New Roman"/>
          <w:sz w:val="22"/>
          <w:szCs w:val="22"/>
          <w:lang w:eastAsia="en-GB"/>
        </w:rPr>
        <w:t xml:space="preserve">the </w:t>
      </w:r>
      <w:r w:rsidR="00B44120" w:rsidRPr="00B44120">
        <w:rPr>
          <w:rFonts w:ascii="Helvetica" w:eastAsia="Times New Roman" w:hAnsi="Helvetica" w:cs="Times New Roman"/>
          <w:sz w:val="22"/>
          <w:szCs w:val="22"/>
          <w:lang w:eastAsia="en-GB"/>
        </w:rPr>
        <w:t>three bla</w:t>
      </w:r>
      <w:r w:rsidR="009B2343">
        <w:rPr>
          <w:rFonts w:ascii="Helvetica" w:eastAsia="Times New Roman" w:hAnsi="Helvetica" w:cs="Times New Roman"/>
          <w:sz w:val="22"/>
          <w:szCs w:val="22"/>
          <w:lang w:eastAsia="en-GB"/>
        </w:rPr>
        <w:t xml:space="preserve">de models are listed in Table </w:t>
      </w:r>
      <w:r w:rsidR="00B44120" w:rsidRPr="00B44120">
        <w:rPr>
          <w:rFonts w:ascii="Helvetica" w:eastAsia="Times New Roman" w:hAnsi="Helvetica" w:cs="Times New Roman"/>
          <w:sz w:val="22"/>
          <w:szCs w:val="22"/>
          <w:lang w:eastAsia="en-GB"/>
        </w:rPr>
        <w:t>3.</w:t>
      </w:r>
    </w:p>
    <w:tbl>
      <w:tblPr>
        <w:tblStyle w:val="Thesis"/>
        <w:tblW w:w="0" w:type="auto"/>
        <w:tblLook w:val="04A0" w:firstRow="1" w:lastRow="0" w:firstColumn="1" w:lastColumn="0" w:noHBand="0" w:noVBand="1"/>
      </w:tblPr>
      <w:tblGrid>
        <w:gridCol w:w="2881"/>
        <w:gridCol w:w="2045"/>
        <w:gridCol w:w="2047"/>
        <w:gridCol w:w="2047"/>
      </w:tblGrid>
      <w:tr w:rsidR="00B44120" w:rsidRPr="002A6DBD" w14:paraId="1932F96F" w14:textId="77777777">
        <w:trPr>
          <w:cnfStyle w:val="100000000000" w:firstRow="1" w:lastRow="0" w:firstColumn="0" w:lastColumn="0" w:oddVBand="0" w:evenVBand="0" w:oddHBand="0" w:evenHBand="0" w:firstRowFirstColumn="0" w:firstRowLastColumn="0" w:lastRowFirstColumn="0" w:lastRowLastColumn="0"/>
        </w:trPr>
        <w:tc>
          <w:tcPr>
            <w:tcW w:w="2896" w:type="dxa"/>
          </w:tcPr>
          <w:p w14:paraId="1EB698E6" w14:textId="77777777" w:rsidR="00B44120" w:rsidRPr="00FF14B7" w:rsidRDefault="00B44120" w:rsidP="009055C5">
            <w:pPr>
              <w:tabs>
                <w:tab w:val="left" w:pos="851"/>
              </w:tabs>
              <w:spacing w:before="120" w:line="276" w:lineRule="auto"/>
              <w:rPr>
                <w:rFonts w:eastAsia="Times New Roman"/>
                <w:b/>
              </w:rPr>
            </w:pPr>
            <w:r w:rsidRPr="00FF14B7">
              <w:rPr>
                <w:rFonts w:eastAsia="Times New Roman"/>
                <w:b/>
              </w:rPr>
              <w:lastRenderedPageBreak/>
              <w:t>In GJ</w:t>
            </w:r>
          </w:p>
        </w:tc>
        <w:tc>
          <w:tcPr>
            <w:tcW w:w="2058" w:type="dxa"/>
          </w:tcPr>
          <w:p w14:paraId="5E14801A" w14:textId="77777777" w:rsidR="00B44120" w:rsidRPr="00FF14B7" w:rsidRDefault="00B44120" w:rsidP="009055C5">
            <w:pPr>
              <w:tabs>
                <w:tab w:val="left" w:pos="851"/>
              </w:tabs>
              <w:spacing w:before="120" w:line="276" w:lineRule="auto"/>
              <w:rPr>
                <w:rFonts w:eastAsia="Times New Roman"/>
                <w:b/>
              </w:rPr>
            </w:pPr>
            <w:r w:rsidRPr="00FF14B7">
              <w:rPr>
                <w:rFonts w:eastAsia="Times New Roman"/>
                <w:b/>
              </w:rPr>
              <w:t>GF blade</w:t>
            </w:r>
          </w:p>
        </w:tc>
        <w:tc>
          <w:tcPr>
            <w:tcW w:w="2059" w:type="dxa"/>
          </w:tcPr>
          <w:p w14:paraId="53834966" w14:textId="77777777" w:rsidR="00B44120" w:rsidRPr="00FF14B7" w:rsidRDefault="00B44120" w:rsidP="009055C5">
            <w:pPr>
              <w:tabs>
                <w:tab w:val="left" w:pos="851"/>
              </w:tabs>
              <w:spacing w:before="120" w:line="276" w:lineRule="auto"/>
              <w:rPr>
                <w:rFonts w:eastAsia="Times New Roman"/>
                <w:b/>
              </w:rPr>
            </w:pPr>
            <w:r w:rsidRPr="00FF14B7">
              <w:rPr>
                <w:rFonts w:eastAsia="Times New Roman"/>
                <w:b/>
              </w:rPr>
              <w:t>Hybrid blade</w:t>
            </w:r>
          </w:p>
        </w:tc>
        <w:tc>
          <w:tcPr>
            <w:tcW w:w="2059" w:type="dxa"/>
          </w:tcPr>
          <w:p w14:paraId="6EA3B3BB" w14:textId="77777777" w:rsidR="00B44120" w:rsidRPr="00FF14B7" w:rsidRDefault="00B44120" w:rsidP="009055C5">
            <w:pPr>
              <w:tabs>
                <w:tab w:val="left" w:pos="851"/>
              </w:tabs>
              <w:spacing w:before="120" w:line="276" w:lineRule="auto"/>
              <w:rPr>
                <w:rFonts w:eastAsia="Times New Roman"/>
                <w:b/>
              </w:rPr>
            </w:pPr>
            <w:r w:rsidRPr="00FF14B7">
              <w:rPr>
                <w:rFonts w:eastAsia="Times New Roman"/>
                <w:b/>
              </w:rPr>
              <w:t>CF blade</w:t>
            </w:r>
          </w:p>
        </w:tc>
      </w:tr>
      <w:tr w:rsidR="00B44120" w:rsidRPr="002A6DBD" w14:paraId="1F00217B" w14:textId="77777777">
        <w:tc>
          <w:tcPr>
            <w:tcW w:w="2896" w:type="dxa"/>
          </w:tcPr>
          <w:p w14:paraId="5397CB66"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Primary and Manufacture</w:t>
            </w:r>
          </w:p>
        </w:tc>
        <w:tc>
          <w:tcPr>
            <w:tcW w:w="2058" w:type="dxa"/>
          </w:tcPr>
          <w:p w14:paraId="0162EB1D"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834.7</w:t>
            </w:r>
          </w:p>
        </w:tc>
        <w:tc>
          <w:tcPr>
            <w:tcW w:w="2059" w:type="dxa"/>
          </w:tcPr>
          <w:p w14:paraId="4AE26FF5"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1051.1</w:t>
            </w:r>
          </w:p>
        </w:tc>
        <w:tc>
          <w:tcPr>
            <w:tcW w:w="2059" w:type="dxa"/>
          </w:tcPr>
          <w:p w14:paraId="6BEDDB3A"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1614.9</w:t>
            </w:r>
          </w:p>
        </w:tc>
      </w:tr>
      <w:tr w:rsidR="00B44120" w:rsidRPr="002A6DBD" w14:paraId="79317342" w14:textId="77777777">
        <w:tc>
          <w:tcPr>
            <w:tcW w:w="2896" w:type="dxa"/>
          </w:tcPr>
          <w:p w14:paraId="63112441"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O&amp;M</w:t>
            </w:r>
          </w:p>
        </w:tc>
        <w:tc>
          <w:tcPr>
            <w:tcW w:w="2058" w:type="dxa"/>
          </w:tcPr>
          <w:p w14:paraId="23A8B0C6"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20.7</w:t>
            </w:r>
          </w:p>
        </w:tc>
        <w:tc>
          <w:tcPr>
            <w:tcW w:w="2059" w:type="dxa"/>
          </w:tcPr>
          <w:p w14:paraId="199269A2"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26.2</w:t>
            </w:r>
          </w:p>
        </w:tc>
        <w:tc>
          <w:tcPr>
            <w:tcW w:w="2059" w:type="dxa"/>
          </w:tcPr>
          <w:p w14:paraId="20EB2D31"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43.6</w:t>
            </w:r>
          </w:p>
        </w:tc>
      </w:tr>
      <w:tr w:rsidR="00B44120" w:rsidRPr="002A6DBD" w14:paraId="09BF3E53" w14:textId="77777777">
        <w:tc>
          <w:tcPr>
            <w:tcW w:w="2896" w:type="dxa"/>
          </w:tcPr>
          <w:p w14:paraId="791FAF99"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Transportation</w:t>
            </w:r>
          </w:p>
        </w:tc>
        <w:tc>
          <w:tcPr>
            <w:tcW w:w="2058" w:type="dxa"/>
          </w:tcPr>
          <w:p w14:paraId="4FA06DE7"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20.0</w:t>
            </w:r>
          </w:p>
        </w:tc>
        <w:tc>
          <w:tcPr>
            <w:tcW w:w="2059" w:type="dxa"/>
          </w:tcPr>
          <w:p w14:paraId="58A5115B"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20.0</w:t>
            </w:r>
          </w:p>
        </w:tc>
        <w:tc>
          <w:tcPr>
            <w:tcW w:w="2059" w:type="dxa"/>
          </w:tcPr>
          <w:p w14:paraId="4F97B31D"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20.0</w:t>
            </w:r>
          </w:p>
        </w:tc>
      </w:tr>
      <w:tr w:rsidR="00B44120" w:rsidRPr="002A6DBD" w14:paraId="5B23D2B4" w14:textId="77777777">
        <w:tc>
          <w:tcPr>
            <w:tcW w:w="2896" w:type="dxa"/>
          </w:tcPr>
          <w:p w14:paraId="08C6A104"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Total</w:t>
            </w:r>
          </w:p>
        </w:tc>
        <w:tc>
          <w:tcPr>
            <w:tcW w:w="2058" w:type="dxa"/>
          </w:tcPr>
          <w:p w14:paraId="471BC608"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875.4</w:t>
            </w:r>
          </w:p>
        </w:tc>
        <w:tc>
          <w:tcPr>
            <w:tcW w:w="2059" w:type="dxa"/>
          </w:tcPr>
          <w:p w14:paraId="0F8907DC"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1097.3</w:t>
            </w:r>
          </w:p>
        </w:tc>
        <w:tc>
          <w:tcPr>
            <w:tcW w:w="2059" w:type="dxa"/>
          </w:tcPr>
          <w:p w14:paraId="16FF4C6E" w14:textId="77777777" w:rsidR="00B44120" w:rsidRPr="002A6DBD" w:rsidRDefault="00B44120" w:rsidP="009055C5">
            <w:pPr>
              <w:tabs>
                <w:tab w:val="left" w:pos="851"/>
              </w:tabs>
              <w:spacing w:before="120" w:line="276" w:lineRule="auto"/>
              <w:rPr>
                <w:rFonts w:eastAsia="Times New Roman"/>
              </w:rPr>
            </w:pPr>
            <w:r w:rsidRPr="002A6DBD">
              <w:rPr>
                <w:rFonts w:eastAsia="Times New Roman"/>
              </w:rPr>
              <w:t>1678.5</w:t>
            </w:r>
          </w:p>
        </w:tc>
      </w:tr>
    </w:tbl>
    <w:p w14:paraId="08572CD2" w14:textId="0F4E546C" w:rsidR="00B44120" w:rsidRDefault="00B44120" w:rsidP="0022044B">
      <w:pPr>
        <w:pStyle w:val="Caption"/>
      </w:pPr>
      <w:bookmarkStart w:id="3" w:name="_Toc486169604"/>
      <w:r w:rsidRPr="002A6DBD">
        <w:t xml:space="preserve">Table </w:t>
      </w:r>
      <w:r w:rsidR="00107EB7">
        <w:fldChar w:fldCharType="begin"/>
      </w:r>
      <w:r w:rsidR="00377D2D">
        <w:instrText xml:space="preserve"> SEQ Table \* ARABIC </w:instrText>
      </w:r>
      <w:r w:rsidR="00107EB7">
        <w:fldChar w:fldCharType="separate"/>
      </w:r>
      <w:r w:rsidR="00CB61A7">
        <w:rPr>
          <w:noProof/>
        </w:rPr>
        <w:t>3</w:t>
      </w:r>
      <w:r w:rsidR="00107EB7">
        <w:rPr>
          <w:noProof/>
        </w:rPr>
        <w:fldChar w:fldCharType="end"/>
      </w:r>
      <w:r w:rsidRPr="002A6DBD">
        <w:t>: Detailed manufacture, O</w:t>
      </w:r>
      <w:r w:rsidR="00B865E3">
        <w:t>peration and maintenance</w:t>
      </w:r>
      <w:r w:rsidRPr="002A6DBD">
        <w:t xml:space="preserve"> and transportation environmental impacts for three blade models. </w:t>
      </w:r>
      <w:bookmarkEnd w:id="3"/>
    </w:p>
    <w:p w14:paraId="135F1735" w14:textId="77777777" w:rsidR="00B44120" w:rsidRDefault="00624659" w:rsidP="004D7BFC">
      <w:pPr>
        <w:pStyle w:val="Heading2"/>
      </w:pPr>
      <w:proofErr w:type="spellStart"/>
      <w:r>
        <w:t>EoL</w:t>
      </w:r>
      <w:proofErr w:type="spellEnd"/>
      <w:r w:rsidR="00B44120" w:rsidRPr="002A6DBD">
        <w:t xml:space="preserve"> </w:t>
      </w:r>
      <w:r>
        <w:t xml:space="preserve">environmental </w:t>
      </w:r>
      <w:r w:rsidR="00B44120" w:rsidRPr="002A6DBD">
        <w:t>impacts</w:t>
      </w:r>
    </w:p>
    <w:p w14:paraId="18590FEE" w14:textId="528BEB8B" w:rsidR="004D7BFC" w:rsidRDefault="004D7BFC"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The </w:t>
      </w:r>
      <w:proofErr w:type="spellStart"/>
      <w:r w:rsidRPr="00B44120">
        <w:rPr>
          <w:rFonts w:ascii="Helvetica" w:eastAsia="Times New Roman" w:hAnsi="Helvetica" w:cs="Times New Roman"/>
          <w:sz w:val="22"/>
          <w:szCs w:val="22"/>
          <w:lang w:eastAsia="en-GB"/>
        </w:rPr>
        <w:t>EoL</w:t>
      </w:r>
      <w:proofErr w:type="spellEnd"/>
      <w:r w:rsidRPr="00B44120">
        <w:rPr>
          <w:rFonts w:ascii="Helvetica" w:eastAsia="Times New Roman" w:hAnsi="Helvetica" w:cs="Times New Roman"/>
          <w:sz w:val="22"/>
          <w:szCs w:val="22"/>
          <w:lang w:eastAsia="en-GB"/>
        </w:rPr>
        <w:t xml:space="preserve"> processes analysed here are landfill, incineration, mechanical recycling, fluidised-bed</w:t>
      </w:r>
      <w:r w:rsidRPr="00B44120">
        <w:rPr>
          <w:rFonts w:ascii="Helvetica" w:eastAsia="Times New Roman" w:hAnsi="Helvetica" w:cs="Times New Roman" w:hint="eastAsia"/>
          <w:sz w:val="22"/>
          <w:szCs w:val="22"/>
          <w:lang w:eastAsia="en-GB"/>
        </w:rPr>
        <w:t xml:space="preserve"> </w:t>
      </w:r>
      <w:r w:rsidR="00E01F88">
        <w:rPr>
          <w:rFonts w:ascii="Helvetica" w:eastAsia="Times New Roman" w:hAnsi="Helvetica" w:cs="Times New Roman"/>
          <w:sz w:val="22"/>
          <w:szCs w:val="22"/>
          <w:lang w:eastAsia="en-GB"/>
        </w:rPr>
        <w:t>recycling</w:t>
      </w:r>
      <w:r w:rsidRPr="00B44120">
        <w:rPr>
          <w:rFonts w:ascii="Helvetica" w:eastAsia="Times New Roman" w:hAnsi="Helvetica" w:cs="Times New Roman"/>
          <w:sz w:val="22"/>
          <w:szCs w:val="22"/>
          <w:lang w:eastAsia="en-GB"/>
        </w:rPr>
        <w:t>, pyrolysis</w:t>
      </w:r>
      <w:r w:rsidR="00E01F88">
        <w:rPr>
          <w:rFonts w:ascii="Helvetica" w:eastAsia="Times New Roman" w:hAnsi="Helvetica" w:cs="Times New Roman"/>
          <w:sz w:val="22"/>
          <w:szCs w:val="22"/>
          <w:lang w:eastAsia="en-GB"/>
        </w:rPr>
        <w:t xml:space="preserve"> recycling</w:t>
      </w:r>
      <w:r w:rsidRPr="00B44120">
        <w:rPr>
          <w:rFonts w:ascii="Helvetica" w:eastAsia="Times New Roman" w:hAnsi="Helvetica" w:cs="Times New Roman"/>
          <w:sz w:val="22"/>
          <w:szCs w:val="22"/>
          <w:lang w:eastAsia="en-GB"/>
        </w:rPr>
        <w:t>, microwave assisted pyrolysis (MAP)</w:t>
      </w:r>
      <w:r w:rsidR="00E01F88">
        <w:rPr>
          <w:rFonts w:ascii="Helvetica" w:eastAsia="Times New Roman" w:hAnsi="Helvetica" w:cs="Times New Roman"/>
          <w:sz w:val="22"/>
          <w:szCs w:val="22"/>
          <w:lang w:eastAsia="en-GB"/>
        </w:rPr>
        <w:t xml:space="preserve"> recycling</w:t>
      </w:r>
      <w:r w:rsidRPr="00B44120">
        <w:rPr>
          <w:rFonts w:ascii="Helvetica" w:eastAsia="Times New Roman" w:hAnsi="Helvetica" w:cs="Times New Roman"/>
          <w:sz w:val="22"/>
          <w:szCs w:val="22"/>
          <w:lang w:eastAsia="en-GB"/>
        </w:rPr>
        <w:t xml:space="preserve">, chemical recycling (hydrolysis and </w:t>
      </w:r>
      <w:proofErr w:type="spellStart"/>
      <w:r w:rsidRPr="00B44120">
        <w:rPr>
          <w:rFonts w:ascii="Helvetica" w:eastAsia="Times New Roman" w:hAnsi="Helvetica" w:cs="Times New Roman"/>
          <w:sz w:val="22"/>
          <w:szCs w:val="22"/>
          <w:lang w:eastAsia="en-GB"/>
        </w:rPr>
        <w:t>solvolysis</w:t>
      </w:r>
      <w:proofErr w:type="spellEnd"/>
      <w:r w:rsidRPr="00B44120">
        <w:rPr>
          <w:rFonts w:ascii="Helvetica" w:eastAsia="Times New Roman" w:hAnsi="Helvetica" w:cs="Times New Roman"/>
          <w:sz w:val="22"/>
          <w:szCs w:val="22"/>
          <w:lang w:eastAsia="en-GB"/>
        </w:rPr>
        <w:t xml:space="preserve">), high voltage fragmentation (HVF) </w:t>
      </w:r>
      <w:r w:rsidR="00E01F88">
        <w:rPr>
          <w:rFonts w:ascii="Helvetica" w:eastAsia="Times New Roman" w:hAnsi="Helvetica" w:cs="Times New Roman"/>
          <w:sz w:val="22"/>
          <w:szCs w:val="22"/>
          <w:lang w:eastAsia="en-GB"/>
        </w:rPr>
        <w:t xml:space="preserve">recycling </w:t>
      </w:r>
      <w:r w:rsidRPr="00B44120">
        <w:rPr>
          <w:rFonts w:ascii="Helvetica" w:eastAsia="Times New Roman" w:hAnsi="Helvetica" w:cs="Times New Roman"/>
          <w:sz w:val="22"/>
          <w:szCs w:val="22"/>
          <w:lang w:eastAsia="en-GB"/>
        </w:rPr>
        <w:t xml:space="preserve">and blade life extension (LE). Most of the environmental impact data for these are obtained from the literature. </w:t>
      </w:r>
      <w:r>
        <w:rPr>
          <w:rFonts w:ascii="Helvetica" w:eastAsia="Times New Roman" w:hAnsi="Helvetica" w:cs="Times New Roman"/>
          <w:sz w:val="22"/>
          <w:szCs w:val="22"/>
          <w:lang w:eastAsia="en-GB"/>
        </w:rPr>
        <w:t>L</w:t>
      </w:r>
      <w:r w:rsidRPr="00B44120">
        <w:rPr>
          <w:rFonts w:ascii="Helvetica" w:eastAsia="Times New Roman" w:hAnsi="Helvetica" w:cs="Times New Roman"/>
          <w:sz w:val="22"/>
          <w:szCs w:val="22"/>
          <w:lang w:eastAsia="en-GB"/>
        </w:rPr>
        <w:t xml:space="preserve">ife extension environmental impacts </w:t>
      </w:r>
      <w:r>
        <w:rPr>
          <w:rFonts w:ascii="Helvetica" w:eastAsia="Times New Roman" w:hAnsi="Helvetica" w:cs="Times New Roman"/>
          <w:sz w:val="22"/>
          <w:szCs w:val="22"/>
          <w:lang w:eastAsia="en-GB"/>
        </w:rPr>
        <w:t>have been</w:t>
      </w:r>
      <w:r w:rsidRPr="00B44120">
        <w:rPr>
          <w:rFonts w:ascii="Helvetica" w:eastAsia="Times New Roman" w:hAnsi="Helvetica" w:cs="Times New Roman"/>
          <w:sz w:val="22"/>
          <w:szCs w:val="22"/>
          <w:lang w:eastAsia="en-GB"/>
        </w:rPr>
        <w:t xml:space="preserve"> calculated </w:t>
      </w:r>
      <w:r>
        <w:rPr>
          <w:rFonts w:ascii="Helvetica" w:eastAsia="Times New Roman" w:hAnsi="Helvetica" w:cs="Times New Roman"/>
          <w:sz w:val="22"/>
          <w:szCs w:val="22"/>
          <w:lang w:eastAsia="en-GB"/>
        </w:rPr>
        <w:t>in the present study</w:t>
      </w:r>
      <w:r w:rsidRPr="00B44120">
        <w:rPr>
          <w:rFonts w:ascii="Helvetica" w:eastAsia="Times New Roman" w:hAnsi="Helvetica" w:cs="Times New Roman"/>
          <w:sz w:val="22"/>
          <w:szCs w:val="22"/>
          <w:lang w:eastAsia="en-GB"/>
        </w:rPr>
        <w:t xml:space="preserve"> and are based on the material consumption and transportation demand.</w:t>
      </w:r>
      <w:r>
        <w:rPr>
          <w:rFonts w:ascii="Helvetica" w:eastAsia="Times New Roman" w:hAnsi="Helvetica" w:cs="Times New Roman"/>
          <w:sz w:val="22"/>
          <w:szCs w:val="22"/>
          <w:lang w:eastAsia="en-GB"/>
        </w:rPr>
        <w:t xml:space="preserve"> </w:t>
      </w:r>
    </w:p>
    <w:p w14:paraId="3BA9B52A" w14:textId="2826EBF1" w:rsidR="00330558"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Analyses in the literature of the processing energy required </w:t>
      </w:r>
      <w:r w:rsidR="00CD3357">
        <w:rPr>
          <w:rFonts w:ascii="Helvetica" w:eastAsia="Times New Roman" w:hAnsi="Helvetica" w:cs="Times New Roman"/>
          <w:sz w:val="22"/>
          <w:szCs w:val="22"/>
          <w:lang w:eastAsia="en-GB"/>
        </w:rPr>
        <w:t>for</w:t>
      </w:r>
      <w:r w:rsidR="00CD3357"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the </w:t>
      </w:r>
      <w:proofErr w:type="spellStart"/>
      <w:r w:rsidRPr="00B44120">
        <w:rPr>
          <w:rFonts w:ascii="Helvetica" w:eastAsia="Times New Roman" w:hAnsi="Helvetica" w:cs="Times New Roman"/>
          <w:sz w:val="22"/>
          <w:szCs w:val="22"/>
          <w:lang w:eastAsia="en-GB"/>
        </w:rPr>
        <w:t>EoL</w:t>
      </w:r>
      <w:proofErr w:type="spellEnd"/>
      <w:r w:rsidRPr="00B44120">
        <w:rPr>
          <w:rFonts w:ascii="Helvetica" w:eastAsia="Times New Roman" w:hAnsi="Helvetica" w:cs="Times New Roman"/>
          <w:sz w:val="22"/>
          <w:szCs w:val="22"/>
          <w:lang w:eastAsia="en-GB"/>
        </w:rPr>
        <w:t xml:space="preserve"> options </w:t>
      </w:r>
      <w:r w:rsidR="009B042C">
        <w:rPr>
          <w:rFonts w:ascii="Helvetica" w:eastAsia="Times New Roman" w:hAnsi="Helvetica" w:cs="Times New Roman"/>
          <w:sz w:val="22"/>
          <w:szCs w:val="22"/>
          <w:lang w:eastAsia="en-GB"/>
        </w:rPr>
        <w:t xml:space="preserve">are very disparate, with </w:t>
      </w:r>
      <w:r w:rsidR="00C873B4">
        <w:rPr>
          <w:rFonts w:ascii="Helvetica" w:eastAsia="Times New Roman" w:hAnsi="Helvetica" w:cs="Times New Roman"/>
          <w:sz w:val="22"/>
          <w:szCs w:val="22"/>
          <w:lang w:eastAsia="en-GB"/>
        </w:rPr>
        <w:t xml:space="preserve">a great variety of </w:t>
      </w:r>
      <w:r w:rsidR="009B042C">
        <w:rPr>
          <w:rFonts w:ascii="Helvetica" w:eastAsia="Times New Roman" w:hAnsi="Helvetica" w:cs="Times New Roman"/>
          <w:sz w:val="22"/>
          <w:szCs w:val="22"/>
          <w:lang w:eastAsia="en-GB"/>
        </w:rPr>
        <w:t>assumptions leading to a wide range of values. T</w:t>
      </w:r>
      <w:r w:rsidR="00C873B4">
        <w:rPr>
          <w:rFonts w:ascii="Helvetica" w:eastAsia="Times New Roman" w:hAnsi="Helvetica" w:cs="Times New Roman"/>
          <w:sz w:val="22"/>
          <w:szCs w:val="22"/>
          <w:lang w:eastAsia="en-GB"/>
        </w:rPr>
        <w:t>o enable comparisons</w:t>
      </w:r>
      <w:r w:rsidRPr="00B44120">
        <w:rPr>
          <w:rFonts w:ascii="Helvetica" w:eastAsia="Times New Roman" w:hAnsi="Helvetica" w:cs="Times New Roman"/>
          <w:sz w:val="22"/>
          <w:szCs w:val="22"/>
          <w:lang w:eastAsia="en-GB"/>
        </w:rPr>
        <w:t xml:space="preserve"> </w:t>
      </w:r>
      <w:r w:rsidR="00C873B4">
        <w:rPr>
          <w:rFonts w:ascii="Helvetica" w:eastAsia="Times New Roman" w:hAnsi="Helvetica" w:cs="Times New Roman"/>
          <w:sz w:val="22"/>
          <w:szCs w:val="22"/>
          <w:lang w:eastAsia="en-GB"/>
        </w:rPr>
        <w:t xml:space="preserve">we have </w:t>
      </w:r>
      <w:r w:rsidR="00225F67">
        <w:rPr>
          <w:rFonts w:ascii="Helvetica" w:eastAsia="Times New Roman" w:hAnsi="Helvetica" w:cs="Times New Roman"/>
          <w:sz w:val="22"/>
          <w:szCs w:val="22"/>
          <w:lang w:eastAsia="en-GB"/>
        </w:rPr>
        <w:t xml:space="preserve">used units of </w:t>
      </w:r>
      <w:r w:rsidR="00225F67" w:rsidRPr="00225F67">
        <w:rPr>
          <w:rFonts w:ascii="Helvetica" w:eastAsia="Times New Roman" w:hAnsi="Helvetica" w:cs="Times New Roman"/>
          <w:i/>
          <w:sz w:val="22"/>
          <w:szCs w:val="22"/>
          <w:lang w:eastAsia="en-GB"/>
        </w:rPr>
        <w:t>MJ/kg waste</w:t>
      </w:r>
      <w:r w:rsidR="00225F67">
        <w:rPr>
          <w:rFonts w:ascii="Helvetica" w:eastAsia="Times New Roman" w:hAnsi="Helvetica" w:cs="Times New Roman"/>
          <w:sz w:val="22"/>
          <w:szCs w:val="22"/>
          <w:lang w:eastAsia="en-GB"/>
        </w:rPr>
        <w:t xml:space="preserve"> and </w:t>
      </w:r>
      <w:r w:rsidR="00C873B4">
        <w:rPr>
          <w:rFonts w:ascii="Helvetica" w:eastAsia="Times New Roman" w:hAnsi="Helvetica" w:cs="Times New Roman"/>
          <w:sz w:val="22"/>
          <w:szCs w:val="22"/>
          <w:lang w:eastAsia="en-GB"/>
        </w:rPr>
        <w:t>defined</w:t>
      </w:r>
      <w:r w:rsidRPr="00B44120">
        <w:rPr>
          <w:rFonts w:ascii="Helvetica" w:eastAsia="Times New Roman" w:hAnsi="Helvetica" w:cs="Times New Roman"/>
          <w:sz w:val="22"/>
          <w:szCs w:val="22"/>
          <w:lang w:eastAsia="en-GB"/>
        </w:rPr>
        <w:t xml:space="preserve"> a base case which adopts the most likely/most frequently appearing data</w:t>
      </w:r>
      <w:r w:rsidR="000050A9">
        <w:rPr>
          <w:rFonts w:ascii="Helvetica" w:eastAsia="Times New Roman" w:hAnsi="Helvetica" w:cs="Times New Roman"/>
          <w:sz w:val="22"/>
          <w:szCs w:val="22"/>
          <w:lang w:eastAsia="en-GB"/>
        </w:rPr>
        <w:t>. We</w:t>
      </w:r>
      <w:r w:rsidR="00A07517">
        <w:rPr>
          <w:rFonts w:ascii="Helvetica" w:eastAsia="Times New Roman" w:hAnsi="Helvetica" w:cs="Times New Roman"/>
          <w:sz w:val="22"/>
          <w:szCs w:val="22"/>
          <w:lang w:eastAsia="en-GB"/>
        </w:rPr>
        <w:t xml:space="preserve"> then use a sensitivity </w:t>
      </w:r>
      <w:r w:rsidR="00392B03">
        <w:rPr>
          <w:rFonts w:ascii="Helvetica" w:eastAsia="Times New Roman" w:hAnsi="Helvetica" w:cs="Times New Roman"/>
          <w:sz w:val="22"/>
          <w:szCs w:val="22"/>
          <w:lang w:eastAsia="en-GB"/>
        </w:rPr>
        <w:t xml:space="preserve">analysis </w:t>
      </w:r>
      <w:r w:rsidR="00A07517">
        <w:rPr>
          <w:rFonts w:ascii="Helvetica" w:eastAsia="Times New Roman" w:hAnsi="Helvetica" w:cs="Times New Roman"/>
          <w:sz w:val="22"/>
          <w:szCs w:val="22"/>
          <w:lang w:eastAsia="en-GB"/>
        </w:rPr>
        <w:t xml:space="preserve">to </w:t>
      </w:r>
      <w:r w:rsidR="00E01F88">
        <w:rPr>
          <w:rFonts w:ascii="Helvetica" w:eastAsia="Times New Roman" w:hAnsi="Helvetica" w:cs="Times New Roman"/>
          <w:sz w:val="22"/>
          <w:szCs w:val="22"/>
          <w:lang w:eastAsia="en-GB"/>
        </w:rPr>
        <w:t xml:space="preserve">evaluate </w:t>
      </w:r>
      <w:r w:rsidR="00A07517">
        <w:rPr>
          <w:rFonts w:ascii="Helvetica" w:eastAsia="Times New Roman" w:hAnsi="Helvetica" w:cs="Times New Roman"/>
          <w:sz w:val="22"/>
          <w:szCs w:val="22"/>
          <w:lang w:eastAsia="en-GB"/>
        </w:rPr>
        <w:t>the effect of variation of different parameters</w:t>
      </w:r>
      <w:r w:rsidRPr="00B44120">
        <w:rPr>
          <w:rFonts w:ascii="Helvetica" w:eastAsia="Times New Roman" w:hAnsi="Helvetica" w:cs="Times New Roman"/>
          <w:sz w:val="22"/>
          <w:szCs w:val="22"/>
          <w:lang w:eastAsia="en-GB"/>
        </w:rPr>
        <w:t xml:space="preserve">. </w:t>
      </w:r>
    </w:p>
    <w:p w14:paraId="78574840" w14:textId="5C0EA556" w:rsidR="00B4412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In </w:t>
      </w:r>
      <w:r w:rsidR="00A07517">
        <w:rPr>
          <w:rFonts w:ascii="Helvetica" w:eastAsia="Times New Roman" w:hAnsi="Helvetica" w:cs="Times New Roman"/>
          <w:sz w:val="22"/>
          <w:szCs w:val="22"/>
          <w:lang w:eastAsia="en-GB"/>
        </w:rPr>
        <w:t>the following</w:t>
      </w:r>
      <w:r w:rsidRPr="00B44120">
        <w:rPr>
          <w:rFonts w:ascii="Helvetica" w:eastAsia="Times New Roman" w:hAnsi="Helvetica" w:cs="Times New Roman"/>
          <w:sz w:val="22"/>
          <w:szCs w:val="22"/>
          <w:lang w:eastAsia="en-GB"/>
        </w:rPr>
        <w:t xml:space="preserve">, we will discuss the processing energy of </w:t>
      </w:r>
      <w:proofErr w:type="spellStart"/>
      <w:r w:rsidRPr="00B44120">
        <w:rPr>
          <w:rFonts w:ascii="Helvetica" w:eastAsia="Times New Roman" w:hAnsi="Helvetica" w:cs="Times New Roman"/>
          <w:sz w:val="22"/>
          <w:szCs w:val="22"/>
          <w:lang w:eastAsia="en-GB"/>
        </w:rPr>
        <w:t>EoL</w:t>
      </w:r>
      <w:proofErr w:type="spellEnd"/>
      <w:r w:rsidRPr="00B44120">
        <w:rPr>
          <w:rFonts w:ascii="Helvetica" w:eastAsia="Times New Roman" w:hAnsi="Helvetica" w:cs="Times New Roman"/>
          <w:sz w:val="22"/>
          <w:szCs w:val="22"/>
          <w:lang w:eastAsia="en-GB"/>
        </w:rPr>
        <w:t xml:space="preserve"> options, beginning with conventional waste processes</w:t>
      </w:r>
      <w:r w:rsidR="00ED5677">
        <w:rPr>
          <w:rFonts w:ascii="Helvetica" w:eastAsia="Times New Roman" w:hAnsi="Helvetica" w:cs="Times New Roman"/>
          <w:sz w:val="22"/>
          <w:szCs w:val="22"/>
          <w:lang w:eastAsia="en-GB"/>
        </w:rPr>
        <w:t xml:space="preserve"> </w:t>
      </w:r>
      <w:r w:rsidR="00225F67">
        <w:rPr>
          <w:rFonts w:ascii="Helvetica" w:eastAsia="Times New Roman" w:hAnsi="Helvetica" w:cs="Times New Roman"/>
          <w:sz w:val="22"/>
          <w:szCs w:val="22"/>
          <w:lang w:eastAsia="en-GB"/>
        </w:rPr>
        <w:t xml:space="preserve">and </w:t>
      </w:r>
      <w:r w:rsidR="00ED5677">
        <w:rPr>
          <w:rFonts w:ascii="Helvetica" w:eastAsia="Times New Roman" w:hAnsi="Helvetica" w:cs="Times New Roman"/>
          <w:sz w:val="22"/>
          <w:szCs w:val="22"/>
          <w:lang w:eastAsia="en-GB"/>
        </w:rPr>
        <w:t>following with the ready</w:t>
      </w:r>
      <w:r w:rsidR="00ED5677">
        <w:rPr>
          <w:rFonts w:ascii="Helvetica" w:hAnsi="Helvetica" w:cs="Times New Roman"/>
          <w:sz w:val="22"/>
          <w:szCs w:val="22"/>
        </w:rPr>
        <w:t xml:space="preserve"> to go/nearly ready to go and the lab-scale recycling technologies</w:t>
      </w:r>
      <w:r w:rsidRPr="00B44120">
        <w:rPr>
          <w:rFonts w:asciiTheme="minorEastAsia" w:hAnsiTheme="minorEastAsia" w:cs="Times New Roman" w:hint="eastAsia"/>
          <w:sz w:val="22"/>
          <w:szCs w:val="22"/>
        </w:rPr>
        <w:t>.</w:t>
      </w:r>
      <w:r w:rsidR="00330558" w:rsidRPr="00B44120">
        <w:rPr>
          <w:rFonts w:ascii="Helvetica" w:eastAsia="Times New Roman" w:hAnsi="Helvetica" w:cs="Times New Roman"/>
          <w:sz w:val="22"/>
          <w:szCs w:val="22"/>
          <w:lang w:eastAsia="en-GB"/>
        </w:rPr>
        <w:t xml:space="preserve"> A complete </w:t>
      </w:r>
      <w:proofErr w:type="spellStart"/>
      <w:r w:rsidR="00330558" w:rsidRPr="00B44120">
        <w:rPr>
          <w:rFonts w:ascii="Helvetica" w:eastAsia="Times New Roman" w:hAnsi="Helvetica" w:cs="Times New Roman"/>
          <w:sz w:val="22"/>
          <w:szCs w:val="22"/>
          <w:lang w:eastAsia="en-GB"/>
        </w:rPr>
        <w:t>EoL</w:t>
      </w:r>
      <w:proofErr w:type="spellEnd"/>
      <w:r w:rsidR="00330558" w:rsidRPr="00B44120">
        <w:rPr>
          <w:rFonts w:ascii="Helvetica" w:eastAsia="Times New Roman" w:hAnsi="Helvetica" w:cs="Times New Roman"/>
          <w:sz w:val="22"/>
          <w:szCs w:val="22"/>
          <w:lang w:eastAsia="en-GB"/>
        </w:rPr>
        <w:t xml:space="preserve"> process comprises four main stages: waste preparation (dismantling + size-reduction), transportation, recycling</w:t>
      </w:r>
      <w:r w:rsidR="00E07CB4">
        <w:rPr>
          <w:rFonts w:ascii="Helvetica" w:eastAsia="Times New Roman" w:hAnsi="Helvetica" w:cs="Times New Roman"/>
          <w:sz w:val="22"/>
          <w:szCs w:val="22"/>
          <w:lang w:eastAsia="en-GB"/>
        </w:rPr>
        <w:t>,</w:t>
      </w:r>
      <w:r w:rsidR="00330558" w:rsidRPr="00B44120">
        <w:rPr>
          <w:rFonts w:ascii="Helvetica" w:eastAsia="Times New Roman" w:hAnsi="Helvetica" w:cs="Times New Roman"/>
          <w:sz w:val="22"/>
          <w:szCs w:val="22"/>
          <w:lang w:eastAsia="en-GB"/>
        </w:rPr>
        <w:t xml:space="preserve"> and post processing.</w:t>
      </w:r>
      <w:r w:rsidR="00330558">
        <w:rPr>
          <w:rFonts w:ascii="Helvetica" w:eastAsia="Times New Roman" w:hAnsi="Helvetica" w:cs="Times New Roman"/>
          <w:sz w:val="22"/>
          <w:szCs w:val="22"/>
          <w:lang w:eastAsia="en-GB"/>
        </w:rPr>
        <w:t xml:space="preserve"> Most of the literature analyses do not include transportation energy as part of the recycling energy, so for comparative purposes we have excluded transportation for all technologies</w:t>
      </w:r>
      <w:r w:rsidR="0021774B">
        <w:rPr>
          <w:rFonts w:ascii="Helvetica" w:eastAsia="Times New Roman" w:hAnsi="Helvetica" w:cs="Times New Roman"/>
          <w:sz w:val="22"/>
          <w:szCs w:val="22"/>
          <w:lang w:eastAsia="en-GB"/>
        </w:rPr>
        <w:t xml:space="preserve">, including only energies for size-reduction and process energies for recycling. </w:t>
      </w:r>
      <w:r w:rsidR="000E0B6D">
        <w:rPr>
          <w:rFonts w:ascii="Helvetica" w:eastAsia="Times New Roman" w:hAnsi="Helvetica" w:cs="Times New Roman"/>
          <w:sz w:val="22"/>
          <w:szCs w:val="22"/>
          <w:lang w:eastAsia="en-GB"/>
        </w:rPr>
        <w:t>The assumption is that transportation energies for the different technologies will be comparable.</w:t>
      </w:r>
      <w:r w:rsidR="0021774B">
        <w:rPr>
          <w:rFonts w:ascii="Helvetica" w:eastAsia="Times New Roman" w:hAnsi="Helvetica" w:cs="Times New Roman"/>
          <w:sz w:val="22"/>
          <w:szCs w:val="22"/>
          <w:lang w:eastAsia="en-GB"/>
        </w:rPr>
        <w:t xml:space="preserve"> </w:t>
      </w:r>
    </w:p>
    <w:p w14:paraId="6D61C571" w14:textId="08197003" w:rsidR="00B4412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The conventional waste processes include landfill and incineration. Landfill CFRP waste requires 0.</w:t>
      </w:r>
      <w:r w:rsidR="0021774B">
        <w:rPr>
          <w:rFonts w:ascii="Helvetica" w:eastAsia="Times New Roman" w:hAnsi="Helvetica" w:cs="Times New Roman"/>
          <w:sz w:val="22"/>
          <w:szCs w:val="22"/>
          <w:lang w:eastAsia="en-GB"/>
        </w:rPr>
        <w:t>257</w:t>
      </w:r>
      <w:r w:rsidR="0021774B"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MJ/kg which can be broken down into 0.09 MJ/kg for shredding and 0.167 MJ/kg for landfilling operations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{"citationItems":[{"id":"ITEM-1","itemData":{"DOI":"10.1016/j.jclepro.2016.03.139","ISBN":"0959-6526","ISSN":"09596526","abstract":"Recovering value from carbon fibre reinforced polymers waste can help to address the high cost and environmental burden of producing carbon fibres, but there is limited understanding of the cost and environmental implications of potential recycling technologies. The objective of this study is to assess the environmental and financial viability of mechanical recycling of carbon fibre composite waste. Life cycle costing and environmental assessment models are developed to quantify the financial and environmental impacts of alternative composite waste treatment routes, comparing landfilling, incineration with energy recovery, and mechanical recycling in a UK context. Current Landfill Tax results in incineration becoming the lowest cost composite waste treatment option; however, incineration is associated with high greenhouse gas emissions as carbon released from composite waste during combustion exceeds CO2 emissions savings from displacing UK electricity and/or heat generation, resulting in a net greenhouse gas emissions source. Mechanical recycling and fibre reuse to displace virgin glass fibre can provide the greatest greenhouse gas emissions reductions of the treatment routes considered (???378??kg??CO2??eq./t composite waste), provided residual recyclates are landfilled rather than incinerated. However, this pathway is found to be unfeasible due to its high cost, which exceeds ??2500/t composite waste ($3750/t composite waste). The financial performance of mechanical recycling is impaired by the high costs of dismantling and recycling processes; low carbon fibre recovery rate; and low value of likely markets. To be viable, carbon fibre recycling processes must achieve near-100% fibre recover rates and minimise the degradation of fibre mechanical properties to enable higher value applications (e.g., virgin carbon fibre displacement). On-going development of carbon fibre recovery technologies and composite manufacturing techniques using recycled carbon fibres leading to improved material properties is therefore critical to ensuring financial viability and environmental benefit of carbon fibre reinforced polymer recycling.","author":[{"dropping-particle":"","family":"Li","given":"Xiang","non-dropping-particle":"","parse-names":false,"suffix":""},{"dropping-particle":"","family":"Bai","given":"Ruibin","non-dropping-particle":"","parse-names":false,"suffix":""},{"dropping-particle":"","family":"McKechnie","given":"Jon","non-dropping-particle":"","parse-names":false,"suffix":""}],"container-title":"Journal of Cleaner Production","id":"ITEM-1","issued":{"date-parts":[["2016"]]},"page":"451-460","publisher":"Elsevier Ltd","title":"Environmental and financial performance of mechanical recycling of carbon fibre reinforced polymers and comparison with conventional disposal routes","type":"article-journal","volume":"127"},"uris":["http://www.mendeley.com/documents/?uuid=1d10868d-7544-44c6-9d72-8292b0cf9417"]}],"mendeley":{"formattedCitation":"(Li et al., 2016)","plainTextFormattedCitation":"(Li et al., 2016)","previouslyFormattedCitation":"(Li et al., 2016)"},"properties":{"noteIndex":0},"schema":"https://github.com/citation-style-language/schema/raw/master/csl-citation.json"}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(Li et al., 2016)</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w:t>
      </w:r>
      <w:r w:rsidR="003C5398">
        <w:rPr>
          <w:rFonts w:ascii="Helvetica" w:eastAsia="Times New Roman" w:hAnsi="Helvetica" w:cs="Times New Roman"/>
          <w:sz w:val="22"/>
          <w:szCs w:val="22"/>
          <w:lang w:eastAsia="en-GB"/>
        </w:rPr>
        <w:t xml:space="preserve"> </w:t>
      </w:r>
      <w:r w:rsidR="0021774B">
        <w:rPr>
          <w:rFonts w:ascii="Helvetica" w:eastAsia="Times New Roman" w:hAnsi="Helvetica" w:cs="Times New Roman"/>
          <w:sz w:val="22"/>
          <w:szCs w:val="22"/>
          <w:lang w:eastAsia="en-GB"/>
        </w:rPr>
        <w:t>In addition,</w:t>
      </w:r>
      <w:r w:rsidR="0021774B" w:rsidRPr="00B44120">
        <w:rPr>
          <w:rFonts w:ascii="Helvetica" w:eastAsia="Times New Roman" w:hAnsi="Helvetica" w:cs="Times New Roman"/>
          <w:sz w:val="22"/>
          <w:szCs w:val="22"/>
          <w:lang w:eastAsia="en-GB"/>
        </w:rPr>
        <w:t xml:space="preserve"> 0.143 MJ/kg </w:t>
      </w:r>
      <w:r w:rsidR="000E0B6D">
        <w:rPr>
          <w:rFonts w:ascii="Helvetica" w:eastAsia="Times New Roman" w:hAnsi="Helvetica" w:cs="Times New Roman"/>
          <w:sz w:val="22"/>
          <w:szCs w:val="22"/>
          <w:lang w:eastAsia="en-GB"/>
        </w:rPr>
        <w:t xml:space="preserve">is required </w:t>
      </w:r>
      <w:r w:rsidR="000E0B6D" w:rsidRPr="00B44120">
        <w:rPr>
          <w:rFonts w:ascii="Helvetica" w:eastAsia="Times New Roman" w:hAnsi="Helvetica" w:cs="Times New Roman"/>
          <w:sz w:val="22"/>
          <w:szCs w:val="22"/>
          <w:lang w:eastAsia="en-GB"/>
        </w:rPr>
        <w:t>for transportation</w:t>
      </w:r>
      <w:r w:rsidR="000E0B6D">
        <w:rPr>
          <w:rFonts w:ascii="Helvetica" w:eastAsia="Times New Roman" w:hAnsi="Helvetica" w:cs="Times New Roman"/>
          <w:sz w:val="22"/>
          <w:szCs w:val="22"/>
          <w:lang w:eastAsia="en-GB"/>
        </w:rPr>
        <w:t xml:space="preserve">, so a significant part of the total energy is excluded </w:t>
      </w:r>
      <w:r w:rsidR="00181C0A">
        <w:rPr>
          <w:rFonts w:ascii="Helvetica" w:eastAsia="Times New Roman" w:hAnsi="Helvetica" w:cs="Times New Roman"/>
          <w:sz w:val="22"/>
          <w:szCs w:val="22"/>
          <w:lang w:eastAsia="en-GB"/>
        </w:rPr>
        <w:t>from</w:t>
      </w:r>
      <w:r w:rsidR="000E0B6D">
        <w:rPr>
          <w:rFonts w:ascii="Helvetica" w:eastAsia="Times New Roman" w:hAnsi="Helvetica" w:cs="Times New Roman"/>
          <w:sz w:val="22"/>
          <w:szCs w:val="22"/>
          <w:lang w:eastAsia="en-GB"/>
        </w:rPr>
        <w:t xml:space="preserve"> our analysis.</w:t>
      </w:r>
      <w:r w:rsidR="002A48F3">
        <w:rPr>
          <w:rFonts w:ascii="Helvetica" w:eastAsia="Times New Roman" w:hAnsi="Helvetica" w:cs="Times New Roman"/>
          <w:sz w:val="22"/>
          <w:szCs w:val="22"/>
          <w:lang w:eastAsia="en-GB"/>
        </w:rPr>
        <w:t xml:space="preserve"> W</w:t>
      </w:r>
      <w:r w:rsidRPr="00B44120">
        <w:rPr>
          <w:rFonts w:ascii="Helvetica" w:eastAsia="Times New Roman" w:hAnsi="Helvetica" w:cs="Times New Roman"/>
          <w:sz w:val="22"/>
          <w:szCs w:val="22"/>
          <w:lang w:eastAsia="en-GB"/>
        </w:rPr>
        <w:t xml:space="preserve">e </w:t>
      </w:r>
      <w:r w:rsidR="00CD5CD1">
        <w:rPr>
          <w:rFonts w:ascii="Helvetica" w:eastAsia="Times New Roman" w:hAnsi="Helvetica" w:cs="Times New Roman"/>
          <w:sz w:val="22"/>
          <w:szCs w:val="22"/>
          <w:lang w:eastAsia="en-GB"/>
        </w:rPr>
        <w:t>assume</w:t>
      </w:r>
      <w:r w:rsidRPr="00B44120">
        <w:rPr>
          <w:rFonts w:ascii="Helvetica" w:eastAsia="Times New Roman" w:hAnsi="Helvetica" w:cs="Times New Roman"/>
          <w:sz w:val="22"/>
          <w:szCs w:val="22"/>
          <w:lang w:eastAsia="en-GB"/>
        </w:rPr>
        <w:t xml:space="preserve"> in this study that the energy consumption </w:t>
      </w:r>
      <w:r w:rsidR="00CD3357">
        <w:rPr>
          <w:rFonts w:ascii="Helvetica" w:eastAsia="Times New Roman" w:hAnsi="Helvetica" w:cs="Times New Roman"/>
          <w:sz w:val="22"/>
          <w:szCs w:val="22"/>
          <w:lang w:eastAsia="en-GB"/>
        </w:rPr>
        <w:t xml:space="preserve">for landfill disposal </w:t>
      </w:r>
      <w:r w:rsidRPr="00B44120">
        <w:rPr>
          <w:rFonts w:ascii="Helvetica" w:eastAsia="Times New Roman" w:hAnsi="Helvetica" w:cs="Times New Roman"/>
          <w:sz w:val="22"/>
          <w:szCs w:val="22"/>
          <w:lang w:eastAsia="en-GB"/>
        </w:rPr>
        <w:t>is 0.257 MJ/kg for both CFRP and GFRP.</w:t>
      </w:r>
    </w:p>
    <w:p w14:paraId="70BC39E8" w14:textId="53654C18" w:rsidR="00E07CB4" w:rsidRPr="00AF5A31"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Turning to incineration, </w:t>
      </w:r>
      <w:r w:rsidR="00CD3357">
        <w:rPr>
          <w:rFonts w:ascii="Helvetica" w:eastAsia="Times New Roman" w:hAnsi="Helvetica" w:cs="Times New Roman"/>
          <w:sz w:val="22"/>
          <w:szCs w:val="22"/>
          <w:lang w:eastAsia="en-GB"/>
        </w:rPr>
        <w:t xml:space="preserve">we note that </w:t>
      </w:r>
      <w:r w:rsidRPr="00B44120">
        <w:rPr>
          <w:rFonts w:ascii="Helvetica" w:eastAsia="Times New Roman" w:hAnsi="Helvetica" w:cs="Times New Roman"/>
          <w:sz w:val="22"/>
          <w:szCs w:val="22"/>
          <w:lang w:eastAsia="en-GB"/>
        </w:rPr>
        <w:t xml:space="preserve">heat or power can be generated through burning solid </w:t>
      </w:r>
      <w:r w:rsidR="00FF14B7">
        <w:rPr>
          <w:rFonts w:ascii="Helvetica" w:eastAsia="Times New Roman" w:hAnsi="Helvetica" w:cs="Times New Roman"/>
          <w:sz w:val="22"/>
          <w:szCs w:val="22"/>
          <w:lang w:eastAsia="en-GB"/>
        </w:rPr>
        <w:t>waste</w:t>
      </w:r>
      <w:r w:rsidRPr="00B44120">
        <w:rPr>
          <w:rFonts w:ascii="Helvetica" w:eastAsia="Times New Roman" w:hAnsi="Helvetica" w:cs="Times New Roman"/>
          <w:sz w:val="22"/>
          <w:szCs w:val="22"/>
          <w:lang w:eastAsia="en-GB"/>
        </w:rPr>
        <w:t xml:space="preserve"> in a combined heat and power station. The </w:t>
      </w:r>
      <w:r w:rsidR="00867AE5">
        <w:rPr>
          <w:rFonts w:ascii="Helvetica" w:eastAsia="Times New Roman" w:hAnsi="Helvetica" w:cs="Times New Roman"/>
          <w:sz w:val="22"/>
          <w:szCs w:val="22"/>
          <w:lang w:eastAsia="en-GB"/>
        </w:rPr>
        <w:t>average yield</w:t>
      </w:r>
      <w:r w:rsidR="00867AE5"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is around 2 MWh/t or 7.2 </w:t>
      </w:r>
      <w:r w:rsidRPr="00B44120">
        <w:rPr>
          <w:rFonts w:ascii="Helvetica" w:eastAsia="Times New Roman" w:hAnsi="Helvetica" w:cs="Times New Roman"/>
          <w:sz w:val="22"/>
          <w:szCs w:val="22"/>
          <w:lang w:eastAsia="en-GB"/>
        </w:rPr>
        <w:lastRenderedPageBreak/>
        <w:t xml:space="preserve">MJ/kg </w:t>
      </w:r>
      <w:r w:rsidR="00B9291C">
        <w:rPr>
          <w:rFonts w:ascii="Helvetica" w:eastAsia="Times New Roman" w:hAnsi="Helvetica" w:cs="Times New Roman"/>
          <w:sz w:val="22"/>
          <w:szCs w:val="22"/>
          <w:lang w:eastAsia="en-GB"/>
        </w:rPr>
        <w:t>when the</w:t>
      </w:r>
      <w:r w:rsidRPr="00B44120">
        <w:rPr>
          <w:rFonts w:ascii="Helvetica" w:eastAsia="Times New Roman" w:hAnsi="Helvetica" w:cs="Times New Roman"/>
          <w:sz w:val="22"/>
          <w:szCs w:val="22"/>
          <w:lang w:eastAsia="en-GB"/>
        </w:rPr>
        <w:t xml:space="preserve"> </w:t>
      </w:r>
      <w:r w:rsidR="00CA6CC7">
        <w:rPr>
          <w:rFonts w:ascii="Helvetica" w:eastAsia="Times New Roman" w:hAnsi="Helvetica" w:cs="Times New Roman"/>
          <w:sz w:val="22"/>
          <w:szCs w:val="22"/>
          <w:lang w:eastAsia="en-GB"/>
        </w:rPr>
        <w:t xml:space="preserve">calorific </w:t>
      </w:r>
      <w:r w:rsidR="00B9291C" w:rsidRPr="00B44120">
        <w:rPr>
          <w:rFonts w:ascii="Helvetica" w:eastAsia="Times New Roman" w:hAnsi="Helvetica" w:cs="Times New Roman"/>
          <w:sz w:val="22"/>
          <w:szCs w:val="22"/>
          <w:lang w:eastAsia="en-GB"/>
        </w:rPr>
        <w:t xml:space="preserve">value </w:t>
      </w:r>
      <w:r w:rsidR="00B9291C">
        <w:rPr>
          <w:rFonts w:ascii="Helvetica" w:eastAsia="Times New Roman" w:hAnsi="Helvetica" w:cs="Times New Roman"/>
          <w:sz w:val="22"/>
          <w:szCs w:val="22"/>
          <w:lang w:eastAsia="en-GB"/>
        </w:rPr>
        <w:t xml:space="preserve">of </w:t>
      </w:r>
      <w:r w:rsidRPr="00B44120">
        <w:rPr>
          <w:rFonts w:ascii="Helvetica" w:eastAsia="Times New Roman" w:hAnsi="Helvetica" w:cs="Times New Roman"/>
          <w:sz w:val="22"/>
          <w:szCs w:val="22"/>
          <w:lang w:eastAsia="en-GB"/>
        </w:rPr>
        <w:t xml:space="preserve">waste </w:t>
      </w:r>
      <w:r w:rsidR="00B9291C">
        <w:rPr>
          <w:rFonts w:ascii="Helvetica" w:eastAsia="Times New Roman" w:hAnsi="Helvetica" w:cs="Times New Roman"/>
          <w:sz w:val="22"/>
          <w:szCs w:val="22"/>
          <w:lang w:eastAsia="en-GB"/>
        </w:rPr>
        <w:t>is</w:t>
      </w:r>
      <w:r w:rsidRPr="00B44120">
        <w:rPr>
          <w:rFonts w:ascii="Helvetica" w:eastAsia="Times New Roman" w:hAnsi="Helvetica" w:cs="Times New Roman"/>
          <w:sz w:val="22"/>
          <w:szCs w:val="22"/>
          <w:lang w:eastAsia="en-GB"/>
        </w:rPr>
        <w:t xml:space="preserve"> 9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{"citationItems":[{"id":"ITEM-1","itemData":{"author":[{"dropping-particle":"","family":"World Bank","given":"","non-dropping-particle":"","parse-names":false,"suffix":""}],"id":"ITEM-1","issued":{"date-parts":[["1999"]]},"number-of-pages":"1-112","publisher-place":"Washington, D.C.","title":"Technical Guidance Report: Municipal Solid Waste Incineration","type":"report"},"uris":["http://www.mendeley.com/documents/?uuid=cea99c35-9e58-4cbb-b44c-5cf87b9ebf61"]}],"mendeley":{"formattedCitation":"(World Bank, 1999)","plainTextFormattedCitation":"(World Bank, 1999)","previouslyFormattedCitation":"(World Bank, 1999)"},"properties":{"noteIndex":0},"schema":"https://github.com/citation-style-language/schema/raw/master/csl-citation.json"}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(World Bank, 1999)</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Typically, the higher the waste heat value, the higher the output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{"citationItems":[{"id":"ITEM-1","itemData":{"author":[{"dropping-particle":"","family":"World Bank","given":"","non-dropping-particle":"","parse-names":false,"suffix":""}],"id":"ITEM-1","issued":{"date-parts":[["1999"]]},"number-of-pages":"1-112","publisher-place":"Washington, D.C.","title":"Technical Guidance Report: Municipal Solid Waste Incineration","type":"report"},"uris":["http://www.mendeley.com/documents/?uuid=cea99c35-9e58-4cbb-b44c-5cf87b9ebf61"]}],"mendeley":{"formattedCitation":"(World Bank, 1999)","plainTextFormattedCitation":"(World Bank, 1999)","previouslyFormattedCitation":"(World Bank, 1999)"},"properties":{"noteIndex":0},"schema":"https://github.com/citation-style-language/schema/raw/master/csl-citation.json"}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(World Bank, 1999)</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The heat value of composite material is around 30 MJ/kg, equivalent to three times that of ordinary </w:t>
      </w:r>
      <w:r w:rsidR="00C53DEA">
        <w:rPr>
          <w:rFonts w:ascii="Helvetica" w:eastAsia="Times New Roman" w:hAnsi="Helvetica" w:cs="Times New Roman"/>
          <w:sz w:val="22"/>
          <w:szCs w:val="22"/>
          <w:lang w:eastAsia="en-GB"/>
        </w:rPr>
        <w:t>municipal solid waste</w:t>
      </w:r>
      <w:r w:rsidR="00C53DEA" w:rsidRPr="00B44120">
        <w:rPr>
          <w:rFonts w:ascii="Helvetica" w:eastAsia="Times New Roman" w:hAnsi="Helvetica" w:cs="Times New Roman"/>
          <w:sz w:val="22"/>
          <w:szCs w:val="22"/>
          <w:lang w:eastAsia="en-GB"/>
        </w:rPr>
        <w:t xml:space="preserv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{"citationItems":[{"id":"ITEM-1","itemData":{"DOI":"10.1016/j.jclepro.2011.05.018","ISSN":"09596526","abstract":"Fibre reinforced polymer (FRP) materials are being increasingly used in several applications, but especially in the construction and transportation industries. The composites industry is now producing a wide range of FRP products that include strengthening strips and sheets, reinforcing bars, structural profiles, sandwich panels, moulded planks and piping. The waste management of FRP materials, in particular those made with thermosetting resins, is a critical issue for the composites industry because these materials cannot be reprocessed. Therefore, most thermosetting FRP waste is presently sent to landfill, in spite of the significant environmental impact caused by disposing of it in this way. Because more and more waste is being produced throughout the life cycle of FRPs, innovative solutions are needed to manage it. This paper first presents a state-of-the-art review of the present alternatives available to manage FRP waste. It then describes an experimental study conducted on the technical feasibility of incorporating the fine waste generated during the manufacturing of glass fibre reinforced polymer (GFRP) composites in concrete mixtures. Tests were carried out to evaluate the fresh-state and hardened-state properties of concrete mixes in which between 0% and 20% of sand was replaced by GFRP fine waste. Although the incorporation of high proportions of GFRP waste was found to worsen concrete performance in terms of both mechanical and durability-related properties, it seems feasible to incorporate low proportions and reuse GFRP fine waste in concrete, particularly in non-structural applications such as architectural concrete or pavement slabs, where good mechanical properties are less important.","author":[{"dropping-particle":"","family":"Correia","given":"João R.","non-dropping-particle":"","parse-names":false,"suffix":""},{"dropping-particle":"","family":"Almeida","given":"Nuno M.","non-dropping-particle":"","parse-names":false,"suffix":""},{"dropping-particle":"","family":"Figueira","given":"João R.","non-dropping-particle":"","parse-names":false,"suffix":""}],"container-title":"Journal of Cleaner Production","id":"ITEM-1","issue":"15","issued":{"date-parts":[["2011","10"]]},"page":"1745-1753","title":"Recycling of FRP composites: reusing fine GFRP waste in concrete mixtures","type":"article-journal","volume":"19"},"uris":["http://www.mendeley.com/documents/?uuid=45b65824-7edc-41a0-8da2-61aae7fa0f41"]}],"mendeley":{"formattedCitation":"(Correia et al., 2011)","plainTextFormattedCitation":"(Correia et al., 2011)","previouslyFormattedCitation":"(Correia et al., 2011)"},"properties":{"noteIndex":0},"schema":"https://github.com/citation-style-language/schema/raw/master/csl-citation.json"}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(Correia et al., 2011)</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Theoretically, composite waste should provide more heat and power in incineration, but it may not burn as easily as </w:t>
      </w:r>
      <w:r w:rsidR="00F97657">
        <w:rPr>
          <w:rFonts w:ascii="Helvetica" w:eastAsia="Times New Roman" w:hAnsi="Helvetica" w:cs="Times New Roman"/>
          <w:sz w:val="22"/>
          <w:szCs w:val="22"/>
          <w:lang w:eastAsia="en-GB"/>
        </w:rPr>
        <w:t>municipal solid waste</w:t>
      </w:r>
      <w:r w:rsidRPr="00B44120">
        <w:rPr>
          <w:rFonts w:ascii="Helvetica" w:eastAsia="Times New Roman" w:hAnsi="Helvetica" w:cs="Times New Roman"/>
          <w:sz w:val="22"/>
          <w:szCs w:val="22"/>
          <w:lang w:eastAsia="en-GB"/>
        </w:rPr>
        <w:t xml:space="preserve">. </w:t>
      </w:r>
      <w:proofErr w:type="spellStart"/>
      <w:r w:rsidRPr="00B44120">
        <w:rPr>
          <w:rFonts w:ascii="Helvetica" w:eastAsia="Times New Roman" w:hAnsi="Helvetica" w:cs="Times New Roman"/>
          <w:sz w:val="22"/>
          <w:szCs w:val="22"/>
          <w:lang w:eastAsia="en-GB"/>
        </w:rPr>
        <w:t>Halliwall</w:t>
      </w:r>
      <w:proofErr w:type="spellEnd"/>
      <w:r w:rsidRPr="00B44120">
        <w:rPr>
          <w:rFonts w:ascii="Helvetica" w:eastAsia="Times New Roman" w:hAnsi="Helvetica" w:cs="Times New Roman"/>
          <w:sz w:val="22"/>
          <w:szCs w:val="22"/>
          <w:lang w:eastAsia="en-GB"/>
        </w:rPr>
        <w:t xml:space="preserve"> states that output from</w:t>
      </w:r>
      <w:r w:rsidR="00F92224" w:rsidRPr="00B44120">
        <w:rPr>
          <w:rFonts w:ascii="Helvetica" w:eastAsia="Times New Roman" w:hAnsi="Helvetica" w:cs="Times New Roman"/>
          <w:sz w:val="22"/>
          <w:szCs w:val="22"/>
          <w:lang w:eastAsia="en-GB"/>
        </w:rPr>
        <w:t xml:space="preserve"> incineration</w:t>
      </w:r>
      <w:r w:rsidRPr="00B44120">
        <w:rPr>
          <w:rFonts w:ascii="Helvetica" w:eastAsia="Times New Roman" w:hAnsi="Helvetica" w:cs="Times New Roman"/>
          <w:sz w:val="22"/>
          <w:szCs w:val="22"/>
          <w:lang w:eastAsia="en-GB"/>
        </w:rPr>
        <w:t xml:space="preserve"> </w:t>
      </w:r>
      <w:r w:rsidR="00F92224">
        <w:rPr>
          <w:rFonts w:ascii="Helvetica" w:eastAsia="Times New Roman" w:hAnsi="Helvetica" w:cs="Times New Roman"/>
          <w:sz w:val="22"/>
          <w:szCs w:val="22"/>
          <w:lang w:eastAsia="en-GB"/>
        </w:rPr>
        <w:t xml:space="preserve">of </w:t>
      </w:r>
      <w:r w:rsidR="00C53DEA">
        <w:rPr>
          <w:rFonts w:ascii="Helvetica" w:eastAsia="Times New Roman" w:hAnsi="Helvetica" w:cs="Times New Roman"/>
          <w:sz w:val="22"/>
          <w:szCs w:val="22"/>
          <w:lang w:eastAsia="en-GB"/>
        </w:rPr>
        <w:t>sheet mould compound</w:t>
      </w:r>
      <w:r w:rsidR="00C53DEA"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waste </w:t>
      </w:r>
      <w:r w:rsidR="00F92224">
        <w:rPr>
          <w:rFonts w:ascii="Helvetica" w:eastAsia="Times New Roman" w:hAnsi="Helvetica" w:cs="Times New Roman"/>
          <w:sz w:val="22"/>
          <w:szCs w:val="22"/>
          <w:lang w:eastAsia="en-GB"/>
        </w:rPr>
        <w:t xml:space="preserve">(typically glass fibre, resin and inert filler) </w:t>
      </w:r>
      <w:r w:rsidRPr="00B44120">
        <w:rPr>
          <w:rFonts w:ascii="Helvetica" w:eastAsia="Times New Roman" w:hAnsi="Helvetica" w:cs="Times New Roman"/>
          <w:sz w:val="22"/>
          <w:szCs w:val="22"/>
          <w:lang w:eastAsia="en-GB"/>
        </w:rPr>
        <w:t xml:space="preserve">is -0.4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{"citationItems":[{"id":"ITEM-1","itemData":{"author":[{"dropping-particle":"","family":"Halliwell","given":"Sue","non-dropping-particle":"","parse-names":false,"suffix":""}],"id":"ITEM-1","issued":{"date-parts":[["2006"]]},"number-of-pages":"9-11","title":"End of Life Options for Composite Waste: Recycle, Reuse or Dispose?","type":"report"},"uris":["http://www.mendeley.com/documents/?uuid=063f8c2e-7ce3-4f2f-bad9-f9f9e51ca3c6"]}],"mendeley":{"formattedCitation":"(Halliwell, 2006)","plainTextFormattedCitation":"(Halliwell, 2006)","previouslyFormattedCitation":"(Halliwell, 2006)"},"properties":{"noteIndex":0},"schema":"https://github.com/citation-style-language/schema/raw/master/csl-citation.json"}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(Halliwell, 2006)</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A WT blade contains up to 70 </w:t>
      </w:r>
      <w:proofErr w:type="spellStart"/>
      <w:r w:rsidRPr="00B44120">
        <w:rPr>
          <w:rFonts w:ascii="Helvetica" w:eastAsia="Times New Roman" w:hAnsi="Helvetica" w:cs="Times New Roman"/>
          <w:sz w:val="22"/>
          <w:szCs w:val="22"/>
          <w:lang w:eastAsia="en-GB"/>
        </w:rPr>
        <w:t>wt</w:t>
      </w:r>
      <w:proofErr w:type="spellEnd"/>
      <w:r w:rsidRPr="00B44120">
        <w:rPr>
          <w:rFonts w:ascii="Helvetica" w:eastAsia="Times New Roman" w:hAnsi="Helvetica" w:cs="Times New Roman"/>
          <w:sz w:val="22"/>
          <w:szCs w:val="22"/>
          <w:lang w:eastAsia="en-GB"/>
        </w:rPr>
        <w:t xml:space="preserve">% glass fibre. Glass fibres are not combustible and will hinder incineration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{"citationItems":[{"id":"ITEM-1","itemData":{"DOI":"10.1557/mrs.2012.33","ISBN":"0883-7694\\n1938-1425","ISSN":"0883-7694","abstract":"This article summarizes the energy savings and environmental impacts of using traditional and bio-based fiber-reinforced polymer composites in place of conventional metal-based structures in a range of applications. In addition to reviewing technical achievements in improving material properties, we quantify the environmental impacts of the materials over the complete product life cycle, from material production through use and end of life, using life-cycle assessment (LCA). © 2012 Materials Research Society.","author":[{"dropping-particle":"","family":"Duflou","given":"Joost R","non-dropping-particle":"","parse-names":false,"suffix":""},{"dropping-particle":"","family":"Deng","given":"Yelin","non-dropping-particle":"","parse-names":false,"suffix":""},{"dropping-particle":"","family":"Acker","given":"Karel","non-dropping-particle":"Van","parse-names":false,"suffix":""},{"dropping-particle":"","family":"Dewulf","given":"Wim","non-dropping-particle":"","parse-names":false,"suffix":""}],"container-title":"MRS Bulletin","id":"ITEM-1","issue":"04","issued":{"date-parts":[["2012"]]},"page":"374-382","title":"Do fiber-reinforced polymer composites provide environmentally benign alternatives? A life-cycle-assessment-based study","type":"article-journal","volume":"37"},"uris":["http://www.mendeley.com/documents/?uuid=2a8a37e4-ba79-4879-aa99-480ad0102e30"]}],"mendeley":{"formattedCitation":"(Duflou et al., 2012)","plainTextFormattedCitation":"(Duflou et al., 2012)","previouslyFormattedCitation":"(Duflou et al., 2012)"},"properties":{"noteIndex":0},"schema":"https://github.com/citation-style-language/schema/raw/master/csl-citation.json"}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(Duflou et al., 2012)</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w:t>
      </w:r>
      <w:r w:rsidR="00D64A7D">
        <w:rPr>
          <w:rFonts w:ascii="Helvetica" w:eastAsia="Times New Roman" w:hAnsi="Helvetica" w:cs="Times New Roman"/>
          <w:sz w:val="22"/>
          <w:szCs w:val="22"/>
          <w:lang w:eastAsia="en-GB"/>
        </w:rPr>
        <w:t>G</w:t>
      </w:r>
      <w:r w:rsidRPr="00B44120">
        <w:rPr>
          <w:rFonts w:ascii="Helvetica" w:eastAsia="Times New Roman" w:hAnsi="Helvetica" w:cs="Times New Roman"/>
          <w:sz w:val="22"/>
          <w:szCs w:val="22"/>
          <w:lang w:eastAsia="en-GB"/>
        </w:rPr>
        <w:t xml:space="preserve">lass fibre in the flue gas </w:t>
      </w:r>
      <w:r w:rsidR="00D64A7D">
        <w:rPr>
          <w:rFonts w:ascii="Helvetica" w:eastAsia="Times New Roman" w:hAnsi="Helvetica" w:cs="Times New Roman"/>
          <w:sz w:val="22"/>
          <w:szCs w:val="22"/>
          <w:lang w:eastAsia="en-GB"/>
        </w:rPr>
        <w:t xml:space="preserve">also </w:t>
      </w:r>
      <w:r w:rsidRPr="00B44120">
        <w:rPr>
          <w:rFonts w:ascii="Helvetica" w:eastAsia="Times New Roman" w:hAnsi="Helvetica" w:cs="Times New Roman"/>
          <w:sz w:val="22"/>
          <w:szCs w:val="22"/>
          <w:lang w:eastAsia="en-GB"/>
        </w:rPr>
        <w:t>disturb</w:t>
      </w:r>
      <w:r w:rsidR="00D64A7D">
        <w:rPr>
          <w:rFonts w:ascii="Helvetica" w:eastAsia="Times New Roman" w:hAnsi="Helvetica" w:cs="Times New Roman"/>
          <w:sz w:val="22"/>
          <w:szCs w:val="22"/>
          <w:lang w:eastAsia="en-GB"/>
        </w:rPr>
        <w:t>s</w:t>
      </w:r>
      <w:r w:rsidRPr="00B44120">
        <w:rPr>
          <w:rFonts w:ascii="Helvetica" w:eastAsia="Times New Roman" w:hAnsi="Helvetica" w:cs="Times New Roman"/>
          <w:sz w:val="22"/>
          <w:szCs w:val="22"/>
          <w:lang w:eastAsia="en-GB"/>
        </w:rPr>
        <w:t xml:space="preserve"> the gas cleaning system</w:t>
      </w:r>
      <w:r w:rsidR="00D64A7D">
        <w:rPr>
          <w:rFonts w:ascii="Helvetica" w:eastAsia="Times New Roman" w:hAnsi="Helvetica" w:cs="Times New Roman"/>
          <w:sz w:val="22"/>
          <w:szCs w:val="22"/>
          <w:lang w:eastAsia="en-GB"/>
        </w:rPr>
        <w:t>,</w:t>
      </w:r>
      <w:r w:rsidRPr="00B44120">
        <w:rPr>
          <w:rFonts w:ascii="Helvetica" w:eastAsia="Times New Roman" w:hAnsi="Helvetica" w:cs="Times New Roman"/>
          <w:sz w:val="22"/>
          <w:szCs w:val="22"/>
          <w:lang w:eastAsia="en-GB"/>
        </w:rPr>
        <w:t xml:space="preserve"> and the large amount of un-combusted fibre remaining at the end of the combustion process </w:t>
      </w:r>
      <w:r w:rsidR="00D64A7D">
        <w:rPr>
          <w:rFonts w:ascii="Helvetica" w:eastAsia="Times New Roman" w:hAnsi="Helvetica" w:cs="Times New Roman"/>
          <w:sz w:val="22"/>
          <w:szCs w:val="22"/>
          <w:lang w:eastAsia="en-GB"/>
        </w:rPr>
        <w:t>is also problematic</w:t>
      </w:r>
      <w:r w:rsidRPr="00B44120">
        <w:rPr>
          <w:rFonts w:ascii="Helvetica" w:eastAsia="Times New Roman" w:hAnsi="Helvetica" w:cs="Times New Roman"/>
          <w:sz w:val="22"/>
          <w:szCs w:val="22"/>
          <w:lang w:eastAsia="en-GB"/>
        </w:rPr>
        <w:t xml:space="preserv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{"citationItems":[{"id":"ITEM-1","itemData":{"author":[{"dropping-particle":"","family":"Schmidt","given":"Anders","non-dropping-particle":"","parse-names":false,"suffix":""}],"id":"ITEM-1","issued":{"date-parts":[["2006"]]},"note":"NULL","number-of-pages":"1-77","title":"Life cycle assessment of electricity produced from onshore sited wind power plants based on Vestas V82-1.65 MW turbines","type":"report"},"uris":["http://www.mendeley.com/documents/?uuid=764b139c-97de-471f-a47e-382521f37759"]}],"mendeley":{"formattedCitation":"(Schmidt, 2006)","plainTextFormattedCitation":"(Schmidt, 2006)","previouslyFormattedCitation":"(Schmidt, 2006)"},"properties":{"noteIndex":0},"schema":"https://github.com/citation-style-language/schema/raw/master/csl-citation.json"}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(Schmidt, 2006)</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Currently there is no public incinerator which deals with composite waste in the UK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{"citationItems":[{"id":"ITEM-1","itemData":{"author":[{"dropping-particle":"","family":"Liu","given":"Pu","non-dropping-particle":"","parse-names":false,"suffix":""}],"id":"ITEM-1","issued":{"date-parts":[["2016"]]},"publisher":"Amey Cespa Waterbeach","publisher-place":"Cambridge","title":"Site visit in Amey Cespa Waterbeach, Info about landfill and incineration cost in UK heared from Principal Operations Manager","type":"speech"},"uris":["http://www.mendeley.com/documents/?uuid=751a4ee0-dadb-40b7-bcd1-b0acf23cffa9"]}],"mendeley":{"formattedCitation":"(Liu, 2016)","plainTextFormattedCitation":"(Liu, 2016)","previouslyFormattedCitation":"(Liu, 2016)"},"properties":{"noteIndex":0},"schema":"https://github.com/citation-style-language/schema/raw/master/csl-citation.json"}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(Liu, 2016)</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w:t>
      </w:r>
      <w:r w:rsidR="00646BB3">
        <w:rPr>
          <w:rFonts w:ascii="Helvetica" w:eastAsia="Times New Roman" w:hAnsi="Helvetica" w:cs="Times New Roman"/>
          <w:sz w:val="22"/>
          <w:szCs w:val="22"/>
          <w:lang w:eastAsia="en-GB"/>
        </w:rPr>
        <w:t>However</w:t>
      </w:r>
      <w:r w:rsidRPr="00B44120">
        <w:rPr>
          <w:rFonts w:ascii="Helvetica" w:eastAsia="Times New Roman" w:hAnsi="Helvetica" w:cs="Times New Roman"/>
          <w:sz w:val="22"/>
          <w:szCs w:val="22"/>
          <w:lang w:eastAsia="en-GB"/>
        </w:rPr>
        <w:t xml:space="preserve">, composite waste can be burnt in a cement kiln as </w:t>
      </w:r>
      <w:r w:rsidR="00100896">
        <w:rPr>
          <w:rFonts w:ascii="Helvetica" w:eastAsia="Times New Roman" w:hAnsi="Helvetica" w:cs="Times New Roman"/>
          <w:sz w:val="22"/>
          <w:szCs w:val="22"/>
          <w:lang w:eastAsia="en-GB"/>
        </w:rPr>
        <w:t xml:space="preserve">part of </w:t>
      </w:r>
      <w:r w:rsidRPr="00B44120">
        <w:rPr>
          <w:rFonts w:ascii="Helvetica" w:eastAsia="Times New Roman" w:hAnsi="Helvetica" w:cs="Times New Roman"/>
          <w:sz w:val="22"/>
          <w:szCs w:val="22"/>
          <w:lang w:eastAsia="en-GB"/>
        </w:rPr>
        <w:t>a</w:t>
      </w:r>
      <w:r w:rsidR="00E07CB4">
        <w:rPr>
          <w:rFonts w:ascii="Helvetica" w:eastAsia="Times New Roman" w:hAnsi="Helvetica" w:cs="Times New Roman"/>
          <w:sz w:val="22"/>
          <w:szCs w:val="22"/>
          <w:lang w:eastAsia="en-GB"/>
        </w:rPr>
        <w:t>n</w:t>
      </w:r>
      <w:r w:rsidRPr="00B44120">
        <w:rPr>
          <w:rFonts w:ascii="Helvetica" w:eastAsia="Times New Roman" w:hAnsi="Helvetica" w:cs="Times New Roman"/>
          <w:sz w:val="22"/>
          <w:szCs w:val="22"/>
          <w:lang w:eastAsia="en-GB"/>
        </w:rPr>
        <w:t xml:space="preserve"> </w:t>
      </w:r>
      <w:r w:rsidR="00E07CB4">
        <w:rPr>
          <w:rFonts w:ascii="Helvetica" w:eastAsia="Times New Roman" w:hAnsi="Helvetica" w:cs="Times New Roman"/>
          <w:sz w:val="22"/>
          <w:szCs w:val="22"/>
          <w:lang w:eastAsia="en-GB"/>
        </w:rPr>
        <w:t>integrated</w:t>
      </w:r>
      <w:r w:rsidR="00E07CB4"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process. </w:t>
      </w:r>
      <w:r w:rsidR="00646BB3">
        <w:rPr>
          <w:rFonts w:ascii="Helvetica" w:eastAsia="Times New Roman" w:hAnsi="Helvetica" w:cs="Times New Roman"/>
          <w:sz w:val="22"/>
          <w:szCs w:val="22"/>
          <w:lang w:eastAsia="en-GB"/>
        </w:rPr>
        <w:t xml:space="preserve">In an </w:t>
      </w:r>
      <w:r w:rsidR="00A07517">
        <w:rPr>
          <w:rFonts w:ascii="Helvetica" w:eastAsia="Times New Roman" w:hAnsi="Helvetica" w:cs="Times New Roman"/>
          <w:sz w:val="22"/>
          <w:szCs w:val="22"/>
          <w:lang w:eastAsia="en-GB"/>
        </w:rPr>
        <w:t>operational</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 xml:space="preserve">composite incineration business run by </w:t>
      </w:r>
      <w:proofErr w:type="spellStart"/>
      <w:r w:rsidRPr="00B44120">
        <w:rPr>
          <w:rFonts w:ascii="Helvetica" w:eastAsia="Times New Roman" w:hAnsi="Helvetica" w:cs="Times New Roman"/>
          <w:sz w:val="22"/>
          <w:szCs w:val="22"/>
          <w:lang w:eastAsia="en-GB"/>
        </w:rPr>
        <w:t>Zajons</w:t>
      </w:r>
      <w:proofErr w:type="spellEnd"/>
      <w:r w:rsidRPr="00B44120">
        <w:rPr>
          <w:rFonts w:ascii="Helvetica" w:eastAsia="Times New Roman" w:hAnsi="Helvetica" w:cs="Times New Roman"/>
          <w:sz w:val="22"/>
          <w:szCs w:val="22"/>
          <w:lang w:eastAsia="en-GB"/>
        </w:rPr>
        <w:t xml:space="preserve"> and Holcim in Germany, composite </w:t>
      </w:r>
      <w:r w:rsidRPr="00B44120">
        <w:rPr>
          <w:rFonts w:ascii="Helvetica" w:eastAsia="Times New Roman" w:hAnsi="Helvetica" w:cs="Times New Roman" w:hint="eastAsia"/>
          <w:sz w:val="22"/>
          <w:szCs w:val="22"/>
          <w:lang w:eastAsia="en-GB"/>
        </w:rPr>
        <w:t>WT</w:t>
      </w:r>
      <w:r w:rsidRPr="00B44120">
        <w:rPr>
          <w:rFonts w:ascii="Helvetica" w:eastAsia="Times New Roman" w:hAnsi="Helvetica" w:cs="Times New Roman"/>
          <w:sz w:val="22"/>
          <w:szCs w:val="22"/>
          <w:lang w:eastAsia="en-GB"/>
        </w:rPr>
        <w:t xml:space="preserve"> blade waste is incinerated in a cement kiln</w:t>
      </w:r>
      <w:r w:rsidR="00100896">
        <w:rPr>
          <w:rFonts w:ascii="Helvetica" w:eastAsia="Times New Roman" w:hAnsi="Helvetica" w:cs="Times New Roman"/>
          <w:sz w:val="22"/>
          <w:szCs w:val="22"/>
          <w:lang w:eastAsia="en-GB"/>
        </w:rPr>
        <w:t>. E</w:t>
      </w:r>
      <w:r w:rsidRPr="00B44120">
        <w:rPr>
          <w:rFonts w:ascii="Helvetica" w:eastAsia="Times New Roman" w:hAnsi="Helvetica" w:cs="Times New Roman"/>
          <w:sz w:val="22"/>
          <w:szCs w:val="22"/>
          <w:lang w:eastAsia="en-GB"/>
        </w:rPr>
        <w:t>ach tonne of blade waste can replace 600 kg of coal fuel</w:t>
      </w:r>
      <w:r w:rsidR="00646BB3">
        <w:rPr>
          <w:rFonts w:ascii="Helvetica" w:eastAsia="Times New Roman" w:hAnsi="Helvetica" w:cs="Times New Roman"/>
          <w:sz w:val="22"/>
          <w:szCs w:val="22"/>
          <w:lang w:eastAsia="en-GB"/>
        </w:rPr>
        <w:t xml:space="preserve">, </w:t>
      </w:r>
      <w:r w:rsidR="00646BB3" w:rsidRPr="00B44120">
        <w:rPr>
          <w:rFonts w:ascii="Helvetica" w:eastAsia="Times New Roman" w:hAnsi="Helvetica" w:cs="Times New Roman"/>
          <w:sz w:val="22"/>
          <w:szCs w:val="22"/>
          <w:lang w:eastAsia="en-GB"/>
        </w:rPr>
        <w:t>equivalent to 4.16 GJ energy</w:t>
      </w:r>
      <w:r w:rsidRPr="00B44120">
        <w:rPr>
          <w:rFonts w:ascii="Helvetica" w:eastAsia="Times New Roman" w:hAnsi="Helvetica" w:cs="Times New Roman"/>
          <w:sz w:val="22"/>
          <w:szCs w:val="22"/>
          <w:lang w:eastAsia="en-GB"/>
        </w:rPr>
        <w:t xml:space="preserv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{"citationItems":[{"id":"ITEM-1","itemData":{"URL":"http://orendaenergy.com/german-companies-use-old-wind-turbine-blades-for-cement/","accessed":{"date-parts":[["2016","5","1"]]},"author":[{"dropping-particle":"","family":"Orenda Energy Solutions","given":"","non-dropping-particle":"","parse-names":false,"suffix":""}],"container-title":"Orenda Energy Solutions website","id":"ITEM-1","issued":{"date-parts":[["2014"]]},"page":"1","title":"German companies use old wind turbine blades for cement","type":"webpage"},"uris":["http://www.mendeley.com/documents/?uuid=5a3b2ecf-8737-317b-b8c1-d9cd44dde44f"]}],"mendeley":{"formattedCitation":"(Orenda Energy Solutions, 2014)","manualFormatting":"(Orenda Energy Solutions 2014; U.S. Energy Information Administration (EIA) 2017))","plainTextFormattedCitation":"(Orenda Energy Solutions, 2014)","previouslyFormattedCitation":"(Orenda Energy Solutions, 2014)"},"properties":{"noteIndex":0},"schema":"https://github.com/citation-style-language/schema/raw/master/csl-citation.json"}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EC0A1C" w:rsidRPr="00EC0A1C">
        <w:rPr>
          <w:rFonts w:ascii="Helvetica" w:eastAsia="Times New Roman" w:hAnsi="Helvetica" w:cs="Times New Roman"/>
          <w:noProof/>
          <w:sz w:val="22"/>
          <w:szCs w:val="22"/>
          <w:lang w:eastAsia="en-GB"/>
        </w:rPr>
        <w:t>(Orenda Energy Solutions 2014</w:t>
      </w:r>
      <w:r w:rsidR="00646BB3">
        <w:rPr>
          <w:rFonts w:ascii="Helvetica" w:eastAsia="Times New Roman" w:hAnsi="Helvetica" w:cs="Times New Roman"/>
          <w:noProof/>
          <w:sz w:val="22"/>
          <w:szCs w:val="22"/>
          <w:lang w:eastAsia="en-GB"/>
        </w:rPr>
        <w:t xml:space="preserve">; </w:t>
      </w:r>
      <w:r w:rsidR="00107EB7" w:rsidRPr="00B44120">
        <w:rPr>
          <w:rFonts w:ascii="Helvetica" w:eastAsia="Times New Roman" w:hAnsi="Helvetica" w:cs="Times New Roman"/>
          <w:noProof/>
          <w:sz w:val="22"/>
          <w:szCs w:val="22"/>
          <w:lang w:eastAsia="en-GB"/>
        </w:rPr>
        <w:fldChar w:fldCharType="begin" w:fldLock="1"/>
      </w:r>
      <w:r w:rsidR="00A17B85">
        <w:rPr>
          <w:rFonts w:ascii="Helvetica" w:eastAsia="Times New Roman" w:hAnsi="Helvetica" w:cs="Times New Roman"/>
          <w:noProof/>
          <w:sz w:val="22"/>
          <w:szCs w:val="22"/>
          <w:lang w:eastAsia="en-GB"/>
        </w:rPr>
        <w:instrText>ADDIN CSL_CITATION {"citationItems":[{"id":"ITEM-1","itemData":{"URL":"https://www.eia.gov/tools/faqs/faq.php?id=667&amp;t=2","accessed":{"date-parts":[["2017","4","1"]]},"author":[{"dropping-particle":"","family":"U.S. Energy Information Administration (EIA)","given":"","non-dropping-particle":"","parse-names":false,"suffix":""}],"container-title":"EIA website","id":"ITEM-1","issued":{"date-parts":[["2017"]]},"page":"1","title":"How much coal, natural gas, or petroleum is used to generate a kilowatthour of electricity? - FAQ - U.S. Energy Information Administration (EIA)","type":"webpage"},"uris":["http://www.mendeley.com/documents/?uuid=8e450e39-3c8e-3312-84a5-35fe727bd202"]}],"mendeley":{"formattedCitation":"(U.S. Energy Information Administration (EIA), 2017)","manualFormatting":"U.S. Energy Information Administration (EIA) 2017)","plainTextFormattedCitation":"(U.S. Energy Information Administration (EIA), 2017)","previouslyFormattedCitation":"(U.S. Energy Information Administration (EIA), 2017)"},"properties":{"noteIndex":0},"schema":"https://github.com/citation-style-language/schema/raw/master/csl-citation.json"}</w:instrText>
      </w:r>
      <w:r w:rsidR="00107EB7" w:rsidRPr="00B44120">
        <w:rPr>
          <w:rFonts w:ascii="Helvetica" w:eastAsia="Times New Roman" w:hAnsi="Helvetica" w:cs="Times New Roman"/>
          <w:noProof/>
          <w:sz w:val="22"/>
          <w:szCs w:val="22"/>
          <w:lang w:eastAsia="en-GB"/>
        </w:rPr>
        <w:fldChar w:fldCharType="separate"/>
      </w:r>
      <w:r w:rsidR="00646BB3" w:rsidRPr="00B44120">
        <w:rPr>
          <w:rFonts w:ascii="Helvetica" w:eastAsia="Times New Roman" w:hAnsi="Helvetica" w:cs="Times New Roman"/>
          <w:noProof/>
          <w:sz w:val="22"/>
          <w:szCs w:val="22"/>
          <w:lang w:eastAsia="en-GB"/>
        </w:rPr>
        <w:t>U.S. Energy Information Administration (EIA) 2017)</w:t>
      </w:r>
      <w:r w:rsidR="00107EB7" w:rsidRPr="00B44120">
        <w:rPr>
          <w:rFonts w:ascii="Helvetica" w:eastAsia="Times New Roman" w:hAnsi="Helvetica" w:cs="Times New Roman"/>
          <w:noProof/>
          <w:sz w:val="22"/>
          <w:szCs w:val="22"/>
          <w:lang w:eastAsia="en-GB"/>
        </w:rPr>
        <w:fldChar w:fldCharType="end"/>
      </w:r>
      <w:r w:rsidR="00EC0A1C" w:rsidRPr="00EC0A1C">
        <w:rPr>
          <w:rFonts w:ascii="Helvetica" w:eastAsia="Times New Roman" w:hAnsi="Helvetica" w:cs="Times New Roman"/>
          <w:noProof/>
          <w:sz w:val="22"/>
          <w:szCs w:val="22"/>
          <w:lang w:eastAsia="en-GB"/>
        </w:rPr>
        <w:t>)</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This figure is used in the base case calculation for incineration. </w:t>
      </w:r>
    </w:p>
    <w:p w14:paraId="13BCF861" w14:textId="68CE18A6" w:rsidR="00B44120" w:rsidRPr="00AF5A31" w:rsidRDefault="005500C2" w:rsidP="00B44120">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In choosing optimal technologies, we note that o</w:t>
      </w:r>
      <w:r w:rsidRPr="00B44120">
        <w:rPr>
          <w:rFonts w:ascii="Helvetica" w:eastAsia="Times New Roman" w:hAnsi="Helvetica" w:cs="Times New Roman"/>
          <w:sz w:val="22"/>
          <w:lang w:eastAsia="en-GB"/>
        </w:rPr>
        <w:t xml:space="preserve">ther factors may over-ride small </w:t>
      </w:r>
      <w:r>
        <w:rPr>
          <w:rFonts w:ascii="Helvetica" w:eastAsia="Times New Roman" w:hAnsi="Helvetica" w:cs="Times New Roman"/>
          <w:sz w:val="22"/>
          <w:lang w:eastAsia="en-GB"/>
        </w:rPr>
        <w:t>differences in</w:t>
      </w:r>
      <w:r w:rsidRPr="00B44120">
        <w:rPr>
          <w:rFonts w:ascii="Helvetica" w:eastAsia="Times New Roman" w:hAnsi="Helvetica" w:cs="Times New Roman"/>
          <w:sz w:val="22"/>
          <w:lang w:eastAsia="en-GB"/>
        </w:rPr>
        <w:t xml:space="preserve"> energy consumption. </w:t>
      </w:r>
      <w:r>
        <w:rPr>
          <w:rFonts w:ascii="Helvetica" w:eastAsia="Times New Roman" w:hAnsi="Helvetica" w:cs="Times New Roman"/>
          <w:sz w:val="22"/>
          <w:lang w:eastAsia="en-GB"/>
        </w:rPr>
        <w:t>For</w:t>
      </w:r>
      <w:r w:rsidRPr="00B44120">
        <w:rPr>
          <w:rFonts w:ascii="Helvetica" w:eastAsia="Times New Roman" w:hAnsi="Helvetica" w:cs="Times New Roman"/>
          <w:sz w:val="22"/>
          <w:lang w:eastAsia="en-GB"/>
        </w:rPr>
        <w:t xml:space="preserve"> example, incineration </w:t>
      </w:r>
      <w:r>
        <w:rPr>
          <w:rFonts w:ascii="Helvetica" w:eastAsia="Times New Roman" w:hAnsi="Helvetica" w:cs="Times New Roman"/>
          <w:sz w:val="22"/>
          <w:lang w:eastAsia="en-GB"/>
        </w:rPr>
        <w:t>of</w:t>
      </w:r>
      <w:r w:rsidRPr="00B44120">
        <w:rPr>
          <w:rFonts w:ascii="Helvetica" w:eastAsia="Times New Roman" w:hAnsi="Helvetica" w:cs="Times New Roman"/>
          <w:sz w:val="22"/>
          <w:lang w:eastAsia="en-GB"/>
        </w:rPr>
        <w:t xml:space="preserve"> </w:t>
      </w:r>
      <w:r w:rsidR="00C53DEA">
        <w:rPr>
          <w:rFonts w:ascii="Helvetica" w:eastAsia="Times New Roman" w:hAnsi="Helvetica" w:cs="Times New Roman"/>
          <w:sz w:val="22"/>
          <w:lang w:eastAsia="en-GB"/>
        </w:rPr>
        <w:t xml:space="preserve">municipal solid waste </w:t>
      </w:r>
      <w:r w:rsidRPr="00B44120">
        <w:rPr>
          <w:rFonts w:ascii="Helvetica" w:eastAsia="Times New Roman" w:hAnsi="Helvetica" w:cs="Times New Roman"/>
          <w:sz w:val="22"/>
          <w:lang w:eastAsia="en-GB"/>
        </w:rPr>
        <w:t xml:space="preserve">can reduce the final landfill volume by up to 95% </w:t>
      </w:r>
      <w:r w:rsidR="00107EB7" w:rsidRPr="00B44120">
        <w:rPr>
          <w:rFonts w:ascii="Helvetica" w:eastAsia="Times New Roman" w:hAnsi="Helvetica" w:cs="Times New Roman"/>
          <w:sz w:val="22"/>
          <w:lang w:eastAsia="en-GB"/>
        </w:rPr>
        <w:fldChar w:fldCharType="begin" w:fldLock="1"/>
      </w:r>
      <w:r w:rsidR="00A17B85">
        <w:rPr>
          <w:rFonts w:ascii="Helvetica" w:eastAsia="Times New Roman" w:hAnsi="Helvetica" w:cs="Times New Roman"/>
          <w:sz w:val="22"/>
          <w:lang w:eastAsia="en-GB"/>
        </w:rPr>
        <w:instrText>ADDIN CSL_CITATION {"citationItems":[{"id":"ITEM-1","itemData":{"abstract":"Owing to visionary environmental and energy policies combined with coherent public planning, Denmark has developed the most efficient waste management system in Europe.\\r\\n","author":[{"dropping-particle":"","family":"RenoSam&amp;Ramboll","given":"","non-dropping-particle":"","parse-names":false,"suffix":""}],"container-title":"Energy","id":"ITEM-1","issued":{"date-parts":[["2006"]]},"number-of-pages":"12","title":"Waste-to-energy in Denmark","type":"report"},"uris":["http://www.mendeley.com/documents/?uuid=4d6fe5d9-5a50-4bec-8c7e-9454b3eda3ff"]}],"mendeley":{"formattedCitation":"(RenoSam&amp;Ramboll, 2006)","plainTextFormattedCitation":"(RenoSam&amp;Ramboll, 2006)","previouslyFormattedCitation":"(RenoSam&amp;Ramboll, 2006)"},"properties":{"noteIndex":0},"schema":"https://github.com/citation-style-language/schema/raw/master/csl-citation.json"}</w:instrText>
      </w:r>
      <w:r w:rsidR="00107EB7" w:rsidRPr="00B44120">
        <w:rPr>
          <w:rFonts w:ascii="Helvetica" w:eastAsia="Times New Roman" w:hAnsi="Helvetica" w:cs="Times New Roman"/>
          <w:sz w:val="22"/>
          <w:lang w:eastAsia="en-GB"/>
        </w:rPr>
        <w:fldChar w:fldCharType="separate"/>
      </w:r>
      <w:r w:rsidR="00B27DC5" w:rsidRPr="00B27DC5">
        <w:rPr>
          <w:rFonts w:ascii="Helvetica" w:eastAsia="Times New Roman" w:hAnsi="Helvetica" w:cs="Times New Roman"/>
          <w:noProof/>
          <w:sz w:val="22"/>
          <w:lang w:eastAsia="en-GB"/>
        </w:rPr>
        <w:t>(RenoSam&amp;Ramboll, 2006)</w:t>
      </w:r>
      <w:r w:rsidR="00107EB7" w:rsidRPr="00B44120">
        <w:rPr>
          <w:rFonts w:ascii="Helvetica" w:eastAsia="Times New Roman" w:hAnsi="Helvetica" w:cs="Times New Roman"/>
          <w:sz w:val="22"/>
          <w:lang w:eastAsia="en-GB"/>
        </w:rPr>
        <w:fldChar w:fldCharType="end"/>
      </w:r>
      <w:r w:rsidRPr="00B44120">
        <w:rPr>
          <w:rFonts w:ascii="Helvetica" w:eastAsia="Times New Roman" w:hAnsi="Helvetica" w:cs="Times New Roman"/>
          <w:sz w:val="22"/>
          <w:lang w:eastAsia="en-GB"/>
        </w:rPr>
        <w:t xml:space="preserve">, so </w:t>
      </w:r>
      <w:r>
        <w:rPr>
          <w:rFonts w:ascii="Helvetica" w:eastAsia="Times New Roman" w:hAnsi="Helvetica" w:cs="Times New Roman"/>
          <w:sz w:val="22"/>
          <w:lang w:eastAsia="en-GB"/>
        </w:rPr>
        <w:t xml:space="preserve">enabling </w:t>
      </w:r>
      <w:r w:rsidR="00100896">
        <w:rPr>
          <w:rFonts w:ascii="Helvetica" w:eastAsia="Times New Roman" w:hAnsi="Helvetica" w:cs="Times New Roman"/>
          <w:sz w:val="22"/>
          <w:lang w:eastAsia="en-GB"/>
        </w:rPr>
        <w:t xml:space="preserve">additional </w:t>
      </w:r>
      <w:r>
        <w:rPr>
          <w:rFonts w:ascii="Helvetica" w:eastAsia="Times New Roman" w:hAnsi="Helvetica" w:cs="Times New Roman"/>
          <w:sz w:val="22"/>
          <w:lang w:eastAsia="en-GB"/>
        </w:rPr>
        <w:t>environmental benefit</w:t>
      </w:r>
      <w:r w:rsidRPr="00B44120">
        <w:rPr>
          <w:rFonts w:ascii="Helvetica" w:eastAsia="Times New Roman" w:hAnsi="Helvetica" w:cs="Times New Roman"/>
          <w:sz w:val="22"/>
          <w:lang w:eastAsia="en-GB"/>
        </w:rPr>
        <w:t>.</w:t>
      </w:r>
    </w:p>
    <w:p w14:paraId="0C03D1F0" w14:textId="611ECFC0" w:rsidR="00B4412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Ready-to-go/near ready-to-go recycling technologies include mechanical recycling, fluidised-bed </w:t>
      </w:r>
      <w:r w:rsidR="00E07CB4">
        <w:rPr>
          <w:rFonts w:ascii="Helvetica" w:eastAsia="Times New Roman" w:hAnsi="Helvetica" w:cs="Times New Roman"/>
          <w:sz w:val="22"/>
          <w:szCs w:val="22"/>
          <w:lang w:eastAsia="en-GB"/>
        </w:rPr>
        <w:t>recycling</w:t>
      </w:r>
      <w:r w:rsidRPr="00B44120">
        <w:rPr>
          <w:rFonts w:ascii="Helvetica" w:eastAsia="Times New Roman" w:hAnsi="Helvetica" w:cs="Times New Roman"/>
          <w:sz w:val="22"/>
          <w:szCs w:val="22"/>
          <w:lang w:eastAsia="en-GB"/>
        </w:rPr>
        <w:t>, pyrolysis</w:t>
      </w:r>
      <w:r w:rsidR="00E07CB4">
        <w:rPr>
          <w:rFonts w:ascii="Helvetica" w:eastAsia="Times New Roman" w:hAnsi="Helvetica" w:cs="Times New Roman"/>
          <w:sz w:val="22"/>
          <w:szCs w:val="22"/>
          <w:lang w:eastAsia="en-GB"/>
        </w:rPr>
        <w:t xml:space="preserve"> recycling,</w:t>
      </w:r>
      <w:r w:rsidRPr="00B44120">
        <w:rPr>
          <w:rFonts w:ascii="Helvetica" w:eastAsia="Times New Roman" w:hAnsi="Helvetica" w:cs="Times New Roman"/>
          <w:sz w:val="22"/>
          <w:szCs w:val="22"/>
          <w:lang w:eastAsia="en-GB"/>
        </w:rPr>
        <w:t xml:space="preserve"> and life extension. Mechanical recycling </w:t>
      </w:r>
      <w:r w:rsidR="00A415DC">
        <w:rPr>
          <w:rFonts w:ascii="Helvetica" w:eastAsia="Times New Roman" w:hAnsi="Helvetica" w:cs="Times New Roman"/>
          <w:sz w:val="22"/>
          <w:szCs w:val="22"/>
          <w:lang w:eastAsia="en-GB"/>
        </w:rPr>
        <w:t>involves</w:t>
      </w:r>
      <w:r w:rsidR="00A415DC"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cutting the dismantled blade into pieces, then shredding and milling the waste into powder and fibre sections tens of millimetres</w:t>
      </w:r>
      <w:r w:rsidR="00F76C80">
        <w:rPr>
          <w:rFonts w:ascii="Helvetica" w:eastAsia="Times New Roman" w:hAnsi="Helvetica" w:cs="Times New Roman"/>
          <w:sz w:val="22"/>
          <w:szCs w:val="22"/>
          <w:lang w:eastAsia="en-GB"/>
        </w:rPr>
        <w:t xml:space="preserve"> in size</w:t>
      </w:r>
      <w:r w:rsidRPr="00B44120">
        <w:rPr>
          <w:rFonts w:ascii="Helvetica" w:eastAsia="Times New Roman" w:hAnsi="Helvetica" w:cs="Times New Roman"/>
          <w:sz w:val="22"/>
          <w:szCs w:val="22"/>
          <w:lang w:eastAsia="en-GB"/>
        </w:rPr>
        <w:t xml:space="preserve">. Howarth reports a mechanical recycling energy for composite waste of 0.27 MJ/kg when the feed rate is 150 kg/hr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{"citationItems":[{"id":"ITEM-1","itemData":{"DOI":"10.1016/j.jclepro.2014.06.023","ISSN":"09596526","abstract":"The increased usage of composites in industry coupled with European Union restrictions on landfill disposal has resulted in an urgent need to develop resource efficient recycling technologies. The purpose of this work was to model the electrical energy requirements of milling as a recycling option for carbon fibre composite. By separating the contributions to the total energy required of the machine tool, material cutting energy and material removal rate, the energy demand of carbon fibre composite recycling can be theoretically calculated for any milling process. The model was validated experimentally by comparing the theoretical energy demand to the measured energy demand of an industrial scale milling machine. It was found that at a processing (recycling) rate of 10 kg/hr, the specific energy was significantly less than the embodied energy of virgin carbon fibre (2.03 MJ/kg compared to approximately 200 MJ/kg). Although the form of the recyclate fibres (short, single filaments and bundles) was vastly different to their virgin equivalents (continuous tows), the energy difference highlights the potential environmental benefit of utilising recyclate fibres in place of virgin ones in short fibre composites where mechanical performance is less critical. The relationship between specific energy of recycling and processing rate was also calculated, which highlighted that further energy savings can be achieved at higher processing rates. This work is fundamentally important to provide new data sets for Life Cycle Assessment in order to assess the potential environmental benefits of utilising recyclate fibres.","author":[{"dropping-particle":"","family":"Howarth","given":"Jack","non-dropping-particle":"","parse-names":false,"suffix":""},{"dropping-particle":"","family":"Mareddy","given":"Sada S.R.","non-dropping-particle":"","parse-names":false,"suffix":""},{"dropping-particle":"","family":"Mativenga","given":"Paul T.","non-dropping-particle":"","parse-names":false,"suffix":""}],"container-title":"Journal of Cleaner Production","id":"ITEM-1","issued":{"date-parts":[["2014","10"]]},"page":"46-50","title":"Energy intensity and environmental analysis of mechanical recycling of carbon fibre composite","type":"article-journal","volume":"81"},"uris":["http://www.mendeley.com/documents/?uuid=e79bb95e-174d-4a9a-99e2-9f0ffd3762b7"]}],"mendeley":{"formattedCitation":"(Howarth et al., 2014)","plainTextFormattedCitation":"(Howarth et al., 2014)","previouslyFormattedCitation":"(Howarth et al., 2014)"},"properties":{"noteIndex":0},"schema":"https://github.com/citation-style-language/schema/raw/master/csl-citation.json"}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(Howarth et al., 2014)</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This finding has been supported by Pickering who reports a shredding energy consumption of 0.04 MJ/kg</w:t>
      </w:r>
      <w:r w:rsidR="00F76C80">
        <w:rPr>
          <w:rFonts w:ascii="Helvetica" w:eastAsia="Times New Roman" w:hAnsi="Helvetica" w:cs="Times New Roman"/>
          <w:sz w:val="22"/>
          <w:szCs w:val="22"/>
          <w:lang w:eastAsia="en-GB"/>
        </w:rPr>
        <w:t>,</w:t>
      </w:r>
      <w:r w:rsidRPr="00B44120">
        <w:rPr>
          <w:rFonts w:ascii="Helvetica" w:eastAsia="Times New Roman" w:hAnsi="Helvetica" w:cs="Times New Roman"/>
          <w:sz w:val="22"/>
          <w:szCs w:val="22"/>
          <w:lang w:eastAsia="en-GB"/>
        </w:rPr>
        <w:t xml:space="preserve"> a hammer milling energy consumption of 0.22 MJ/kg and a total energy consumption for the size reduction process for composite waste of 0.26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{"citationItems":[{"id":"ITEM-1","itemData":{"author":[{"dropping-particle":"","family":"Pickering","given":"S J","non-dropping-particle":"","parse-names":false,"suffix":""},{"dropping-particle":"","family":"Turner","given":"T A","non-dropping-particle":"","parse-names":false,"suffix":""},{"dropping-particle":"","family":"Meng","given":"F","non-dropping-particle":"","parse-names":false,"suffix":""},{"dropping-particle":"","family":"Morris","given":"C N","non-dropping-particle":"","parse-names":false,"suffix":""},{"dropping-particle":"","family":"Heil","given":"J P","non-dropping-particle":"","parse-names":false,"suffix":""},{"dropping-particle":"","family":"Wong","given":"K H","non-dropping-particle":"","parse-names":false,"suffix":""},{"dropping-particle":"","family":"Melendi","given":"S","non-dropping-particle":"","parse-names":false,"suffix":""}],"container-title":"2nd Annual Composites and Advanced Materials Expo, CAMX 2015","id":"ITEM-1","issued":{"date-parts":[["2015"]]},"publisher":"CAMX 2015","publisher-place":"Dallas, Texas.","title":"DEVELOPMENTS IN THE FLUIDISED BED PROCESS FOR FIBRE RECOVERY FROM THERMOSET COMPOSITES","type":"paper-conference"},"uris":["http://www.mendeley.com/documents/?uuid=a12724fc-bc32-46b7-a352-e52ea5071af2"]}],"mendeley":{"formattedCitation":"(Pickering et al., 2015)","plainTextFormattedCitation":"(Pickering et al., 2015)","previouslyFormattedCitation":"(Pickering et al., 2015)"},"properties":{"noteIndex":0},"schema":"https://github.com/citation-style-language/schema/raw/master/csl-citation.json"}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(Pickering et al., 2015)</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However, when the feed rate </w:t>
      </w:r>
      <w:r w:rsidR="00F76C80">
        <w:rPr>
          <w:rFonts w:ascii="Helvetica" w:eastAsia="Times New Roman" w:hAnsi="Helvetica" w:cs="Times New Roman"/>
          <w:sz w:val="22"/>
          <w:szCs w:val="22"/>
          <w:lang w:eastAsia="en-GB"/>
        </w:rPr>
        <w:t>falls to</w:t>
      </w:r>
      <w:r w:rsidR="00F76C80"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10 kg/hr, the average energy consumption rises to 2.03 MJ/kg as the machine standby energy consumption is high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{"citationItems":[{"id":"ITEM-1","itemData":{"DOI":"10.1016/j.jclepro.2014.06.023","ISSN":"09596526","abstract":"The increased usage of composites in industry coupled with European Union restrictions on landfill disposal has resulted in an urgent need to develop resource efficient recycling technologies. The purpose of this work was to model the electrical energy requirements of milling as a recycling option for carbon fibre composite. By separating the contributions to the total energy required of the machine tool, material cutting energy and material removal rate, the energy demand of carbon fibre composite recycling can be theoretically calculated for any milling process. The model was validated experimentally by comparing the theoretical energy demand to the measured energy demand of an industrial scale milling machine. It was found that at a processing (recycling) rate of 10 kg/hr, the specific energy was significantly less than the embodied energy of virgin carbon fibre (2.03 MJ/kg compared to approximately 200 MJ/kg). Although the form of the recyclate fibres (short, single filaments and bundles) was vastly different to their virgin equivalents (continuous tows), the energy difference highlights the potential environmental benefit of utilising recyclate fibres in place of virgin ones in short fibre composites where mechanical performance is less critical. The relationship between specific energy of recycling and processing rate was also calculated, which highlighted that further energy savings can be achieved at higher processing rates. This work is fundamentally important to provide new data sets for Life Cycle Assessment in order to assess the potential environmental benefits of utilising recyclate fibres.","author":[{"dropping-particle":"","family":"Howarth","given":"Jack","non-dropping-particle":"","parse-names":false,"suffix":""},{"dropping-particle":"","family":"Mareddy","given":"Sada S.R.","non-dropping-particle":"","parse-names":false,"suffix":""},{"dropping-particle":"","family":"Mativenga","given":"Paul T.","non-dropping-particle":"","parse-names":false,"suffix":""}],"container-title":"Journal of Cleaner Production","id":"ITEM-1","issued":{"date-parts":[["2014","10"]]},"page":"46-50","title":"Energy intensity and environmental analysis of mechanical recycling of carbon fibre composite","type":"article-journal","volume":"81"},"uris":["http://www.mendeley.com/documents/?uuid=e79bb95e-174d-4a9a-99e2-9f0ffd3762b7"]}],"mendeley":{"formattedCitation":"(Howarth et al., 2014)","plainTextFormattedCitation":"(Howarth et al., 2014)","previouslyFormattedCitation":"(Howarth et al., 2014)"},"properties":{"noteIndex":0},"schema":"https://github.com/citation-style-language/schema/raw/master/csl-citation.json"}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(Howarth et al., 2014)</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w:t>
      </w:r>
      <w:r w:rsidR="00CC6456">
        <w:rPr>
          <w:rFonts w:ascii="Helvetica" w:eastAsia="Times New Roman" w:hAnsi="Helvetica" w:cs="Times New Roman"/>
          <w:sz w:val="22"/>
          <w:szCs w:val="22"/>
          <w:lang w:eastAsia="en-GB"/>
        </w:rPr>
        <w:t>We adopt</w:t>
      </w:r>
      <w:r w:rsidR="00CC6456"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hint="eastAsia"/>
          <w:sz w:val="22"/>
          <w:szCs w:val="22"/>
          <w:lang w:eastAsia="en-GB"/>
        </w:rPr>
        <w:t>0</w:t>
      </w:r>
      <w:r w:rsidRPr="00B44120">
        <w:rPr>
          <w:rFonts w:ascii="Helvetica" w:eastAsia="Times New Roman" w:hAnsi="Helvetica" w:cs="Times New Roman"/>
          <w:sz w:val="22"/>
          <w:szCs w:val="22"/>
          <w:lang w:eastAsia="en-GB"/>
        </w:rPr>
        <w:t xml:space="preserve">.27 MJ/kg in the model as a high feed rate </w:t>
      </w:r>
      <w:r w:rsidR="00F76C80">
        <w:rPr>
          <w:rFonts w:ascii="Helvetica" w:eastAsia="Times New Roman" w:hAnsi="Helvetica" w:cs="Times New Roman"/>
          <w:sz w:val="22"/>
          <w:szCs w:val="22"/>
          <w:lang w:eastAsia="en-GB"/>
        </w:rPr>
        <w:t>is expected to be the norm</w:t>
      </w:r>
      <w:r w:rsidRPr="00B44120">
        <w:rPr>
          <w:rFonts w:ascii="Helvetica" w:eastAsia="Times New Roman" w:hAnsi="Helvetica" w:cs="Times New Roman"/>
          <w:sz w:val="22"/>
          <w:szCs w:val="22"/>
          <w:lang w:eastAsia="en-GB"/>
        </w:rPr>
        <w:t xml:space="preserve"> when mechanical recycling is enlarged to</w:t>
      </w:r>
      <w:r w:rsidR="00CC6456">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industry scale.</w:t>
      </w:r>
    </w:p>
    <w:p w14:paraId="6484649E" w14:textId="18B95517" w:rsidR="00B4412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The energy demand of the fluidised-bed process under optimal conditions has been de</w:t>
      </w:r>
      <w:r w:rsidR="00E74B13">
        <w:rPr>
          <w:rFonts w:ascii="Helvetica" w:eastAsia="Times New Roman" w:hAnsi="Helvetica" w:cs="Times New Roman"/>
          <w:sz w:val="22"/>
          <w:szCs w:val="22"/>
          <w:lang w:eastAsia="en-GB"/>
        </w:rPr>
        <w:t>termined to be around 10 MJ/</w:t>
      </w:r>
      <w:r w:rsidRPr="00B44120">
        <w:rPr>
          <w:rFonts w:ascii="Helvetica" w:eastAsia="Times New Roman" w:hAnsi="Helvetica" w:cs="Times New Roman"/>
          <w:sz w:val="22"/>
          <w:szCs w:val="22"/>
          <w:lang w:eastAsia="en-GB"/>
        </w:rPr>
        <w:t xml:space="preserve">kg of </w:t>
      </w:r>
      <w:r w:rsidR="002B7A72">
        <w:rPr>
          <w:rFonts w:ascii="Helvetica" w:eastAsia="Times New Roman" w:hAnsi="Helvetica" w:cs="Times New Roman" w:hint="eastAsia"/>
          <w:sz w:val="22"/>
          <w:szCs w:val="22"/>
        </w:rPr>
        <w:t>r</w:t>
      </w:r>
      <w:r w:rsidR="007C6C72">
        <w:rPr>
          <w:rFonts w:ascii="Helvetica" w:eastAsia="Times New Roman" w:hAnsi="Helvetica" w:cs="Times New Roman"/>
          <w:sz w:val="22"/>
          <w:szCs w:val="22"/>
        </w:rPr>
        <w:t xml:space="preserve">ecycled </w:t>
      </w:r>
      <w:r w:rsidR="002B7A72">
        <w:rPr>
          <w:rFonts w:ascii="Helvetica" w:eastAsia="Times New Roman" w:hAnsi="Helvetica" w:cs="Times New Roman"/>
          <w:sz w:val="22"/>
          <w:szCs w:val="22"/>
        </w:rPr>
        <w:t>CF</w:t>
      </w:r>
      <w:r w:rsidRPr="00B44120">
        <w:rPr>
          <w:rFonts w:ascii="Helvetica" w:eastAsia="Times New Roman" w:hAnsi="Helvetica" w:cs="Times New Roman"/>
          <w:sz w:val="22"/>
          <w:szCs w:val="22"/>
          <w:lang w:eastAsia="en-GB"/>
        </w:rPr>
        <w:t xml:space="preserv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{"citationItems":[{"id":"ITEM-1","itemData":{"author":[{"dropping-particle":"","family":"Meng","given":"Fanran","non-dropping-particle":"","parse-names":false,"suffix":""}],"id":"ITEM-1","issued":{"date-parts":[["2017"]]},"publisher-place":"Nottingham","title":"PhD student, working on the fludised bed project from University of Nottingham, Email and face to face commnunication","type":"article"},"uris":["http://www.mendeley.com/documents/?uuid=a2df8ead-9c59-4c1f-a77e-beeff798dbc3"]},{"id":"ITEM-2","itemData":{"DOI":"10.1021/acs.est.7b04069","ISSN":"0013-936X","abstract":"The high cost and energy intensity of virgin carbon fiber manufacture provides an opportunity to recover substantial value from carbon fiber reinforced plastic wastes. In this study, we assess the life cycle environmental implications of recovering carbon fiber and producing composite materials as substitutes for conventional and proposed lightweight materials in automotive applications (e.g., steel, aluminum, virgin carbon fiber). Key parameters for the recycled carbon fiber materials, including fiber volume fraction and fiber alignment, are investigated to identify beneficial uses of recycled carbon fiber in the automotive sector. Recycled carbon fiber components can achieve the lowest life cycle environmental impacts of all materials considered, although the actual impact is highly dependent on the design criteria (λ value) of the specific component. Low production impacts associated with recycled carbon fiber components are observed relative to lightweight competitor materials (e.g., aluminum, virgin carbon fiber reinforced plastic). In addition, recycled carbon fiber components have low in-use energy use due to mass reductions and associated reduction in mass-induced fuel consumption. The results demonstrate environmental feasibility of the CFRP recycling materials, supporting the emerging commercialization of CF recycling technologies and identifying significant potential market opportunities in the automotive sector.","author":[{"dropping-particle":"","family":"Meng","given":"Fanran","non-dropping-particle":"","parse-names":false,"suffix":""},{"dropping-particle":"","family":"McKechnie","given":"Jon","non-dropping-particle":"","parse-names":false,"suffix":""},{"dropping-particle":"","family":"Turner","given":"Thomas","non-dropping-particle":"","parse-names":false,"suffix":""},{"dropping-particle":"","family":"Wong","given":"Kok H.","non-dropping-particle":"","parse-names":false,"suffix":""},{"dropping-particle":"","family":"Pickering","given":"Stephen J.","non-dropping-particle":"","parse-names":false,"suffix":""}],"container-title":"Environmental Science &amp; Technology","id":"ITEM-2","issue":"21","issued":{"date-parts":[["2017"]]},"page":"12727-12736","title":"Environmental Aspects of Use of Recycled Carbon Fiber Composites in Automotive Applications","type":"article-journal","volume":"51"},"uris":["http://www.mendeley.com/documents/?uuid=746d87a9-de80-4d83-a7f4-d4f847d60951"]}],"mendeley":{"formattedCitation":"(Meng, 2017; Meng et al., 2017a)","plainTextFormattedCitation":"(Meng, 2017; Meng et al., 2017a)","previouslyFormattedCitation":"(Meng, 2017; Meng et al., 2017a)"},"properties":{"noteIndex":0},"schema":"https://github.com/citation-style-language/schema/raw/master/csl-citation.json"}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(Meng, 2017; Meng et al., 2017a)</w:t>
      </w:r>
      <w:r w:rsidR="00107EB7" w:rsidRPr="00B44120">
        <w:rPr>
          <w:rFonts w:ascii="Helvetica" w:eastAsia="Times New Roman" w:hAnsi="Helvetica" w:cs="Times New Roman"/>
          <w:sz w:val="22"/>
          <w:szCs w:val="22"/>
          <w:lang w:eastAsia="en-GB"/>
        </w:rPr>
        <w:fldChar w:fldCharType="end"/>
      </w:r>
      <w:r w:rsidR="0087241C">
        <w:rPr>
          <w:rFonts w:ascii="Helvetica" w:eastAsia="Times New Roman" w:hAnsi="Helvetica" w:cs="Times New Roman"/>
          <w:sz w:val="22"/>
          <w:szCs w:val="22"/>
          <w:lang w:eastAsia="en-GB"/>
        </w:rPr>
        <w:t>, but we note that</w:t>
      </w:r>
      <w:r w:rsidRPr="00B44120">
        <w:rPr>
          <w:rFonts w:ascii="Helvetica" w:eastAsia="Times New Roman" w:hAnsi="Helvetica" w:cs="Times New Roman"/>
          <w:sz w:val="22"/>
          <w:szCs w:val="22"/>
          <w:lang w:eastAsia="en-GB"/>
        </w:rPr>
        <w:t xml:space="preserve"> </w:t>
      </w:r>
      <w:r w:rsidR="0087241C">
        <w:rPr>
          <w:rFonts w:ascii="Helvetica" w:eastAsia="Times New Roman" w:hAnsi="Helvetica" w:cs="Times New Roman"/>
          <w:sz w:val="22"/>
          <w:szCs w:val="22"/>
          <w:lang w:eastAsia="en-GB"/>
        </w:rPr>
        <w:t>w</w:t>
      </w:r>
      <w:r w:rsidRPr="00B44120">
        <w:rPr>
          <w:rFonts w:ascii="Helvetica" w:eastAsia="Times New Roman" w:hAnsi="Helvetica" w:cs="Times New Roman"/>
          <w:sz w:val="22"/>
          <w:szCs w:val="22"/>
          <w:lang w:eastAsia="en-GB"/>
        </w:rPr>
        <w:t xml:space="preserve">hen the feed rate is low this may rise to 15-30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{"citationItems":[{"id":"ITEM-1","itemData":{"author":[{"dropping-particle":"","family":"Pickering","given":"S J","non-dropping-particle":"","parse-names":false,"suffix":""},{"dropping-particle":"","family":"Turner","given":"T A","non-dropping-particle":"","parse-names":false,"suffix":""},{"dropping-particle":"","family":"Meng","given":"F","non-dropping-particle":"","parse-names":false,"suffix":""},{"dropping-particle":"","family":"Morris","given":"C N","non-dropping-particle":"","parse-names":false,"suffix":""},{"dropping-particle":"","family":"Heil","given":"J P","non-dropping-particle":"","parse-names":false,"suffix":""},{"dropping-particle":"","family":"Wong","given":"K H","non-dropping-particle":"","parse-names":false,"suffix":""},{"dropping-particle":"","family":"Melendi","given":"S","non-dropping-particle":"","parse-names":false,"suffix":""}],"container-title":"2nd Annual Composites and Advanced Materials Expo, CAMX 2015","id":"ITEM-1","issued":{"date-parts":[["2015"]]},"publisher":"CAMX 2015","publisher-place":"Dallas, Texas.","title":"DEVELOPMENTS IN THE FLUIDISED BED PROCESS FOR FIBRE RECOVERY FROM THERMOSET COMPOSITES","type":"paper-conference"},"uris":["http://www.mendeley.com/documents/?uuid=a12724fc-bc32-46b7-a352-e52ea5071af2"]}],"mendeley":{"formattedCitation":"(Pickering et al., 2015)","plainTextFormattedCitation":"(Pickering et al., 2015)","previouslyFormattedCitation":"(Pickering et al., 2015)"},"properties":{"noteIndex":0},"schema":"https://github.com/citation-style-language/schema/raw/master/csl-citation.json"}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(Pickering et al., 2015)</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The </w:t>
      </w:r>
      <w:r w:rsidRPr="00B44120">
        <w:rPr>
          <w:rFonts w:ascii="Helvetica" w:eastAsia="Times New Roman" w:hAnsi="Helvetica" w:cs="Times New Roman"/>
          <w:sz w:val="22"/>
          <w:szCs w:val="22"/>
          <w:lang w:eastAsia="en-GB"/>
        </w:rPr>
        <w:lastRenderedPageBreak/>
        <w:t xml:space="preserve">optimal energy demand </w:t>
      </w:r>
      <w:r w:rsidR="004F7D4E">
        <w:rPr>
          <w:rFonts w:ascii="Helvetica" w:eastAsia="Times New Roman" w:hAnsi="Helvetica" w:cs="Times New Roman"/>
          <w:sz w:val="22"/>
          <w:szCs w:val="22"/>
          <w:lang w:eastAsia="en-GB"/>
        </w:rPr>
        <w:t>for</w:t>
      </w:r>
      <w:r w:rsidRPr="00B44120">
        <w:rPr>
          <w:rFonts w:ascii="Helvetica" w:eastAsia="Times New Roman" w:hAnsi="Helvetica" w:cs="Times New Roman"/>
          <w:sz w:val="22"/>
          <w:szCs w:val="22"/>
          <w:lang w:eastAsia="en-GB"/>
        </w:rPr>
        <w:t xml:space="preserve"> </w:t>
      </w:r>
      <w:r w:rsidR="004F7D4E">
        <w:rPr>
          <w:rFonts w:ascii="Helvetica" w:eastAsia="Times New Roman" w:hAnsi="Helvetica" w:cs="Times New Roman"/>
          <w:sz w:val="22"/>
          <w:szCs w:val="22"/>
        </w:rPr>
        <w:t xml:space="preserve">CFRP </w:t>
      </w:r>
      <w:r w:rsidR="004F7D4E" w:rsidRPr="00B44120">
        <w:rPr>
          <w:rFonts w:ascii="Helvetica" w:eastAsia="Times New Roman" w:hAnsi="Helvetica" w:cs="Times New Roman"/>
          <w:sz w:val="22"/>
          <w:szCs w:val="22"/>
          <w:lang w:eastAsia="en-GB"/>
        </w:rPr>
        <w:t xml:space="preserve">waste </w:t>
      </w:r>
      <w:r w:rsidR="004F7D4E">
        <w:rPr>
          <w:rFonts w:ascii="Helvetica" w:eastAsia="Times New Roman" w:hAnsi="Helvetica" w:cs="Times New Roman"/>
          <w:sz w:val="22"/>
          <w:szCs w:val="22"/>
          <w:lang w:eastAsia="en-GB"/>
        </w:rPr>
        <w:t xml:space="preserve">is therefore </w:t>
      </w:r>
      <w:r w:rsidR="002B7A72">
        <w:rPr>
          <w:rFonts w:ascii="Helvetica" w:eastAsia="Times New Roman" w:hAnsi="Helvetica" w:cs="Times New Roman"/>
          <w:sz w:val="22"/>
          <w:szCs w:val="22"/>
          <w:lang w:eastAsia="en-GB"/>
        </w:rPr>
        <w:t>9</w:t>
      </w:r>
      <w:r w:rsidR="00E74B13">
        <w:rPr>
          <w:rFonts w:ascii="Helvetica" w:eastAsia="Times New Roman" w:hAnsi="Helvetica" w:cs="Times New Roman"/>
          <w:sz w:val="22"/>
          <w:szCs w:val="22"/>
          <w:lang w:eastAsia="en-GB"/>
        </w:rPr>
        <w:t xml:space="preserve"> MJ/k</w:t>
      </w:r>
      <w:r w:rsidR="00B43CFF">
        <w:rPr>
          <w:rFonts w:ascii="Helvetica" w:eastAsia="Times New Roman" w:hAnsi="Helvetica" w:cs="Times New Roman"/>
          <w:sz w:val="22"/>
          <w:szCs w:val="22"/>
        </w:rPr>
        <w:t xml:space="preserve">g </w:t>
      </w:r>
      <w:r w:rsidR="004F7D4E">
        <w:rPr>
          <w:rFonts w:ascii="Helvetica" w:eastAsia="Times New Roman" w:hAnsi="Helvetica" w:cs="Times New Roman"/>
          <w:sz w:val="22"/>
          <w:szCs w:val="22"/>
        </w:rPr>
        <w:t>using a</w:t>
      </w:r>
      <w:r w:rsidRPr="00B44120">
        <w:rPr>
          <w:rFonts w:ascii="Helvetica" w:eastAsia="Times New Roman" w:hAnsi="Helvetica" w:cs="Times New Roman"/>
          <w:sz w:val="22"/>
          <w:szCs w:val="22"/>
          <w:lang w:eastAsia="en-GB"/>
        </w:rPr>
        <w:t xml:space="preserve"> fibrous product yield rate </w:t>
      </w:r>
      <w:r w:rsidR="007C6C72">
        <w:rPr>
          <w:rFonts w:ascii="Helvetica" w:eastAsia="Times New Roman" w:hAnsi="Helvetica" w:cs="Times New Roman"/>
          <w:sz w:val="22"/>
          <w:szCs w:val="22"/>
          <w:lang w:eastAsia="en-GB"/>
        </w:rPr>
        <w:t>of</w:t>
      </w:r>
      <w:r w:rsidR="007C6C72" w:rsidRPr="00B44120">
        <w:rPr>
          <w:rFonts w:ascii="Helvetica" w:eastAsia="Times New Roman" w:hAnsi="Helvetica" w:cs="Times New Roman"/>
          <w:sz w:val="22"/>
          <w:szCs w:val="22"/>
          <w:lang w:eastAsia="en-GB"/>
        </w:rPr>
        <w:t xml:space="preserve"> </w:t>
      </w:r>
      <w:r w:rsidR="002B7A72">
        <w:rPr>
          <w:rFonts w:ascii="Helvetica" w:eastAsia="Times New Roman" w:hAnsi="Helvetica" w:cs="Times New Roman"/>
          <w:sz w:val="22"/>
          <w:szCs w:val="22"/>
          <w:lang w:eastAsia="en-GB"/>
        </w:rPr>
        <w:t>90%</w:t>
      </w:r>
      <w:r w:rsidR="004F7D4E">
        <w:rPr>
          <w:rFonts w:ascii="Helvetica" w:eastAsia="Times New Roman" w:hAnsi="Helvetica" w:cs="Times New Roman"/>
          <w:sz w:val="22"/>
          <w:szCs w:val="22"/>
          <w:lang w:eastAsia="en-GB"/>
        </w:rPr>
        <w:t>.</w:t>
      </w:r>
      <w:r w:rsidRPr="00B44120">
        <w:rPr>
          <w:rFonts w:ascii="Helvetica" w:eastAsia="Times New Roman" w:hAnsi="Helvetica" w:cs="Times New Roman"/>
          <w:sz w:val="22"/>
          <w:szCs w:val="22"/>
          <w:lang w:eastAsia="en-GB"/>
        </w:rPr>
        <w:t xml:space="preserve"> </w:t>
      </w:r>
      <w:r w:rsidR="004F7D4E">
        <w:rPr>
          <w:rFonts w:ascii="Helvetica" w:eastAsia="Times New Roman" w:hAnsi="Helvetica" w:cs="Times New Roman"/>
          <w:sz w:val="22"/>
          <w:szCs w:val="22"/>
          <w:lang w:eastAsia="en-GB"/>
        </w:rPr>
        <w:t>T</w:t>
      </w:r>
      <w:r w:rsidR="007C6C72">
        <w:rPr>
          <w:rFonts w:ascii="Helvetica" w:eastAsia="Times New Roman" w:hAnsi="Helvetica" w:cs="Times New Roman"/>
          <w:sz w:val="22"/>
          <w:szCs w:val="22"/>
          <w:lang w:eastAsia="en-GB"/>
        </w:rPr>
        <w:t xml:space="preserve">he </w:t>
      </w:r>
      <w:r w:rsidR="004F7D4E">
        <w:rPr>
          <w:rFonts w:ascii="Helvetica" w:eastAsia="Times New Roman" w:hAnsi="Helvetica" w:cs="Times New Roman"/>
          <w:sz w:val="22"/>
          <w:szCs w:val="22"/>
          <w:lang w:eastAsia="en-GB"/>
        </w:rPr>
        <w:t xml:space="preserve">optimal </w:t>
      </w:r>
      <w:r w:rsidR="007C6C72">
        <w:rPr>
          <w:rFonts w:ascii="Helvetica" w:eastAsia="Times New Roman" w:hAnsi="Helvetica" w:cs="Times New Roman"/>
          <w:sz w:val="22"/>
          <w:szCs w:val="22"/>
          <w:lang w:eastAsia="en-GB"/>
        </w:rPr>
        <w:t>energy demand</w:t>
      </w:r>
      <w:r w:rsidR="004F7D4E">
        <w:rPr>
          <w:rFonts w:ascii="Helvetica" w:eastAsia="Times New Roman" w:hAnsi="Helvetica" w:cs="Times New Roman"/>
          <w:sz w:val="22"/>
          <w:szCs w:val="22"/>
          <w:lang w:eastAsia="en-GB"/>
        </w:rPr>
        <w:t xml:space="preserve"> for GFRP waste</w:t>
      </w:r>
      <w:r w:rsidR="007C6C72">
        <w:rPr>
          <w:rFonts w:ascii="Helvetica" w:eastAsia="Times New Roman" w:hAnsi="Helvetica" w:cs="Times New Roman"/>
          <w:sz w:val="22"/>
          <w:szCs w:val="22"/>
          <w:lang w:eastAsia="en-GB"/>
        </w:rPr>
        <w:t xml:space="preserve"> is </w:t>
      </w:r>
      <w:r w:rsidR="00E74B13">
        <w:rPr>
          <w:rFonts w:ascii="Helvetica" w:eastAsia="Times New Roman" w:hAnsi="Helvetica" w:cs="Times New Roman"/>
          <w:sz w:val="22"/>
          <w:szCs w:val="22"/>
          <w:lang w:eastAsia="en-GB"/>
        </w:rPr>
        <w:t>22.2 MJ/kg</w:t>
      </w:r>
      <w:r w:rsidR="004F7D4E">
        <w:rPr>
          <w:rFonts w:ascii="Helvetica" w:eastAsia="Times New Roman" w:hAnsi="Helvetica" w:cs="Times New Roman"/>
          <w:sz w:val="22"/>
          <w:szCs w:val="22"/>
          <w:lang w:eastAsia="en-GB"/>
        </w:rPr>
        <w:t>, using</w:t>
      </w:r>
      <w:r w:rsidR="00E74B13">
        <w:rPr>
          <w:rFonts w:ascii="Helvetica" w:eastAsia="Times New Roman" w:hAnsi="Helvetica" w:cs="Times New Roman"/>
          <w:sz w:val="22"/>
          <w:szCs w:val="22"/>
          <w:lang w:eastAsia="en-GB"/>
        </w:rPr>
        <w:t xml:space="preserve"> </w:t>
      </w:r>
      <w:r w:rsidR="00377D33">
        <w:rPr>
          <w:rFonts w:ascii="Helvetica" w:eastAsia="Times New Roman" w:hAnsi="Helvetica" w:cs="Times New Roman"/>
          <w:sz w:val="22"/>
          <w:szCs w:val="22"/>
          <w:lang w:eastAsia="en-GB"/>
        </w:rPr>
        <w:t xml:space="preserve">a </w:t>
      </w:r>
      <w:r w:rsidR="00E74B13" w:rsidRPr="00B44120">
        <w:rPr>
          <w:rFonts w:ascii="Helvetica" w:eastAsia="Times New Roman" w:hAnsi="Helvetica" w:cs="Times New Roman"/>
          <w:sz w:val="22"/>
          <w:szCs w:val="22"/>
          <w:lang w:eastAsia="en-GB"/>
        </w:rPr>
        <w:t xml:space="preserve">fibrous product </w:t>
      </w:r>
      <w:r w:rsidR="00E74B13">
        <w:rPr>
          <w:rFonts w:ascii="Helvetica" w:eastAsia="Times New Roman" w:hAnsi="Helvetica" w:cs="Times New Roman"/>
          <w:sz w:val="22"/>
          <w:szCs w:val="22"/>
          <w:lang w:eastAsia="en-GB"/>
        </w:rPr>
        <w:t>yield rate of 44%</w:t>
      </w:r>
      <w:r w:rsidR="007C6C72">
        <w:rPr>
          <w:rFonts w:ascii="Helvetica" w:eastAsia="Times New Roman" w:hAnsi="Helvetica" w:cs="Times New Roman"/>
          <w:sz w:val="22"/>
          <w:szCs w:val="22"/>
          <w:lang w:eastAsia="en-GB"/>
        </w:rPr>
        <w:t xml:space="preserve"> </w:t>
      </w:r>
      <w:r w:rsidR="00107EB7">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{"citationItems":[{"id":"ITEM-1","itemData":{"author":[{"dropping-particle":"","family":"Pickering","given":"S. J.","non-dropping-particle":"","parse-names":false,"suffix":""},{"dropping-particle":"","family":"Kelly","given":"R M","non-dropping-particle":"","parse-names":false,"suffix":""},{"dropping-particle":"","family":"Kennerley","given":"J R","non-dropping-particle":"","parse-names":false,"suffix":""},{"dropping-particle":"","family":"Rudd","given":"C D","non-dropping-particle":"","parse-names":false,"suffix":""},{"dropping-particle":"","family":"Fenwick","given":"N J","non-dropping-particle":"","parse-names":false,"suffix":""}],"container-title":"Composites Science and Technology","id":"ITEM-1","issue":"4","issued":{"date-parts":[["2000"]]},"page":"509–523","title":"A fluidised-bed process for the recovery of glass fibres from scrap thermoset composites","type":"article-journal","volume":"60"},"uris":["http://www.mendeley.com/documents/?uuid=b61b9781-e694-4a5a-a0f9-b82ceb75535b"]}],"mendeley":{"formattedCitation":"(Pickering et al., 2000)","plainTextFormattedCitation":"(Pickering et al., 2000)","previouslyFormattedCitation":"(Pickering et al., 2000)"},"properties":{"noteIndex":0},"schema":"https://github.com/citation-style-language/schema/raw/master/csl-citation.json"}</w:instrText>
      </w:r>
      <w:r w:rsidR="00107EB7">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(Pickering et al., 2000)</w:t>
      </w:r>
      <w:r w:rsidR="00107EB7">
        <w:rPr>
          <w:rFonts w:ascii="Helvetica" w:eastAsia="Times New Roman" w:hAnsi="Helvetica" w:cs="Times New Roman"/>
          <w:sz w:val="22"/>
          <w:szCs w:val="22"/>
          <w:lang w:eastAsia="en-GB"/>
        </w:rPr>
        <w:fldChar w:fldCharType="end"/>
      </w:r>
      <w:r w:rsidR="009A2254">
        <w:rPr>
          <w:rFonts w:ascii="Helvetica" w:eastAsia="Times New Roman" w:hAnsi="Helvetica" w:cs="Times New Roman"/>
          <w:sz w:val="22"/>
          <w:szCs w:val="22"/>
          <w:lang w:eastAsia="en-GB"/>
        </w:rPr>
        <w:t>.</w:t>
      </w:r>
    </w:p>
    <w:p w14:paraId="2BF464C3" w14:textId="0789617C" w:rsidR="00B44120" w:rsidRPr="00AF5A31" w:rsidRDefault="00B44120" w:rsidP="00B44120">
      <w:pPr>
        <w:tabs>
          <w:tab w:val="left" w:pos="851"/>
        </w:tabs>
        <w:spacing w:before="120" w:line="360" w:lineRule="auto"/>
        <w:rPr>
          <w:rFonts w:ascii="Helvetica" w:hAnsi="Helvetica" w:cs="Times New Roman"/>
          <w:sz w:val="22"/>
          <w:szCs w:val="22"/>
        </w:rPr>
      </w:pPr>
      <w:r w:rsidRPr="00B44120">
        <w:rPr>
          <w:rFonts w:ascii="Helvetica" w:eastAsia="Times New Roman" w:hAnsi="Helvetica" w:cs="Times New Roman"/>
          <w:sz w:val="22"/>
          <w:szCs w:val="22"/>
          <w:lang w:eastAsia="en-GB"/>
        </w:rPr>
        <w:t xml:space="preserve">The energy demand of pyrolysis is around 30 MJ/kg recyclate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{"citationItems":[{"id":"ITEM-1","itemData":{"DOI":"10.1016/j.compositesa.2013.02.009","ISBN":"1359-835X","ISSN":"1359835X","abstract":"The environmental benefits of recycling are assessed against other end-of-life (EOL) treatments for Carbon Fibre Reinforced Plastic (CFRP) waste. Recycling via pyrolysis, incineration with energy recovery, and disposal via landfilling are compared. To account for physical changes to materials from use and recycling, equivalence between recycled and virgin materials is calculated based on the ability to produce a short fibre composite beam of equivalent stiffness. Secondary effects of using Recycled Carbon Fibre (RCF) in a hypothetical automotive application are also analysed. Results underline the ecological constraints towards recycling CFRPs and demonstrate that benefits from recycling are strongly linked to the impacts of the selected recovery process, the materials replaced by RCF in a secondary application, and also to the type of secondary application in which they are used. © 2013 Elsevier Ltd. All rights reserved.","author":[{"dropping-particle":"","family":"Witik","given":"Robert A.","non-dropping-particle":"","parse-names":false,"suffix":""},{"dropping-particle":"","family":"Teuscher","given":"Remy","non-dropping-particle":"","parse-names":false,"suffix":""},{"dropping-particle":"","family":"Michaud","given":"Véronique","non-dropping-particle":"","parse-names":false,"suffix":""},{"dropping-particle":"","family":"Ludwig","given":"Christian","non-dropping-particle":"","parse-names":false,"suffix":""},{"dropping-particle":"","family":"Månson","given":"Jan Anders E.","non-dropping-particle":"","parse-names":false,"suffix":""}],"container-title":"Composites Part A: Applied Science and Manufacturing","id":"ITEM-1","issued":{"date-parts":[["2013","6"]]},"page":"89-99","publisher":"Elsevier Ltd","title":"Carbon fibre reinforced composite waste: An environmental assessment of recycling, energy recovery and landfilling","type":"article-journal","volume":"49"},"uris":["http://www.mendeley.com/documents/?uuid=02bda057-f108-4e5c-b2b0-0e929246b59b"]},{"id":"ITEM-2","itemData":{"author":[{"dropping-particle":"","family":"Barnes","given":"Frazer","non-dropping-particle":"","parse-names":false,"suffix":""}],"container-title":"GO Carbon FIbre Recycling 2015","id":"ITEM-2","issued":{"date-parts":[["2015"]]},"publisher":"ELG Carbon Fibre Ltd.","publisher-place":"Manchester","title":"Presentation: Commercial Aspects of Carbon Fibre Recycling by ELG Carbon Fibre Ltd.","type":"paper-conference"},"uris":["http://www.mendeley.com/documents/?uuid=c90bb834-caf5-42b9-999b-ddfccdf31a7c"]}],"mendeley":{"formattedCitation":"(Barnes, 2015; Witik et al., 2013)","plainTextFormattedCitation":"(Barnes, 2015; Witik et al., 2013)","previouslyFormattedCitation":"(Barnes, 2015; Witik et al., 2013)"},"properties":{"noteIndex":0},"schema":"https://github.com/citation-style-language/schema/raw/master/csl-citation.json"}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(Barnes, 2015; Witik et al., 2013)</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The solid yield rate is reported as 70.7%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{"citationItems":[{"id":"ITEM-1","itemData":{"DOI":"10.1080/09593330309385599","ISSN":"0959-3330","PMID":"12803257","abstract":"Several different composite plastics were pyrolysed in a fixed bed reactor at final temperatures between 350 and 800 degrees C. The composites studied were polyester, phenolic, epoxy, vinylester, polypropylene and PET resins, reinforced with glass and/or carbon fibre. The product yields of oil gas and solid residue were determined together with a detailed composition of the derived gases. There was evidence to suggest that calcium carbonate filler, present in the polyester and phenolic composites, decomposed to form carbon dioxide at 800 degrees C, which was subsequently involved in char gasification reactions. Polyester, phenolic and epoxy composites generated highly aromatic, oxygenated condensable products. There was no noticeable correlation between the composition of these products and the final pyrolysis temperature. The tensile strength of recovered glass fibre was lower than that of virgin fibre and decreased markedly as the final pyrolysis temperature increased from 650 to 800 degrees C.","author":[{"dropping-particle":"","family":"Cunliffe","given":"Adrian M","non-dropping-particle":"","parse-names":false,"suffix":""},{"dropping-particle":"","family":"Jones","given":"N","non-dropping-particle":"","parse-names":false,"suffix":""},{"dropping-particle":"","family":"Williams","given":"P T","non-dropping-particle":"","parse-names":false,"suffix":""}],"container-title":"Environmental technology","id":"ITEM-1","issue":"5","issued":{"date-parts":[["2003"]]},"page":"653-663","title":"Pyrolysis of composite plastic waste","type":"article-journal","volume":"24"},"uris":["http://www.mendeley.com/documents/?uuid=0ab67573-eadc-473f-b30e-aaacd145d521"]}],"mendeley":{"formattedCitation":"(Cunliffe et al., 2003)","plainTextFormattedCitation":"(Cunliffe et al., 2003)","previouslyFormattedCitation":"(Cunliffe et al., 2003)"},"properties":{"noteIndex":0},"schema":"https://github.com/citation-style-language/schema/raw/master/csl-citation.json"}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(Cunliffe et al., 2003)</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Based on this, the energy demand of pyrolysis becomes </w:t>
      </w:r>
      <w:r w:rsidR="002B7A72">
        <w:rPr>
          <w:rFonts w:ascii="Helvetica" w:eastAsia="Times New Roman" w:hAnsi="Helvetica" w:cs="Times New Roman"/>
          <w:sz w:val="22"/>
          <w:szCs w:val="22"/>
          <w:lang w:eastAsia="en-GB"/>
        </w:rPr>
        <w:t>21</w:t>
      </w:r>
      <w:r w:rsidRPr="00B44120">
        <w:rPr>
          <w:rFonts w:ascii="Helvetica" w:eastAsia="Times New Roman" w:hAnsi="Helvetica" w:cs="Times New Roman"/>
          <w:sz w:val="22"/>
          <w:szCs w:val="22"/>
          <w:lang w:eastAsia="en-GB"/>
        </w:rPr>
        <w:t>.</w:t>
      </w:r>
      <w:r w:rsidR="002B7A72">
        <w:rPr>
          <w:rFonts w:ascii="Helvetica" w:eastAsia="Times New Roman" w:hAnsi="Helvetica" w:cs="Times New Roman"/>
          <w:sz w:val="22"/>
          <w:szCs w:val="22"/>
          <w:lang w:eastAsia="en-GB"/>
        </w:rPr>
        <w:t>2</w:t>
      </w:r>
      <w:r w:rsidRPr="00B44120">
        <w:rPr>
          <w:rFonts w:ascii="Helvetica" w:eastAsia="Times New Roman" w:hAnsi="Helvetica" w:cs="Times New Roman"/>
          <w:sz w:val="22"/>
          <w:szCs w:val="22"/>
          <w:lang w:eastAsia="en-GB"/>
        </w:rPr>
        <w:t xml:space="preserve"> MJ/kg </w:t>
      </w:r>
      <w:r w:rsidR="002B7A72">
        <w:rPr>
          <w:rFonts w:ascii="Helvetica" w:eastAsia="Times New Roman" w:hAnsi="Helvetica" w:cs="Times New Roman"/>
          <w:sz w:val="22"/>
          <w:szCs w:val="22"/>
          <w:lang w:eastAsia="en-GB"/>
        </w:rPr>
        <w:t xml:space="preserve">FRP </w:t>
      </w:r>
      <w:r w:rsidRPr="00B44120">
        <w:rPr>
          <w:rFonts w:ascii="Helvetica" w:eastAsia="Times New Roman" w:hAnsi="Helvetica" w:cs="Times New Roman"/>
          <w:sz w:val="22"/>
          <w:szCs w:val="22"/>
          <w:lang w:eastAsia="en-GB"/>
        </w:rPr>
        <w:t>waste.</w:t>
      </w:r>
    </w:p>
    <w:p w14:paraId="4111DE14" w14:textId="5BADE6AE" w:rsidR="00B4412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Life extension (LE) is the idea that blade lifespan is extended beyond that of the original design</w:t>
      </w:r>
      <w:r w:rsidR="009F1192">
        <w:rPr>
          <w:rFonts w:ascii="Helvetica" w:eastAsia="Times New Roman" w:hAnsi="Helvetica" w:cs="Times New Roman"/>
          <w:sz w:val="22"/>
          <w:szCs w:val="22"/>
          <w:lang w:eastAsia="en-GB"/>
        </w:rPr>
        <w:t>. This effectively reduces the number of blades that need to be manufactured, and reduces the total amount of end-of-life waste</w:t>
      </w:r>
      <w:r w:rsidRPr="00B44120">
        <w:rPr>
          <w:rFonts w:ascii="Helvetica" w:eastAsia="Times New Roman" w:hAnsi="Helvetica" w:cs="Times New Roman"/>
          <w:sz w:val="22"/>
          <w:szCs w:val="22"/>
          <w:lang w:eastAsia="en-GB"/>
        </w:rPr>
        <w:t xml:space="preserv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Van","family":"Wingerde","given":"AM","non-dropping-particle":"","parse-names":false,"suffix":""},{"dropping-particle":"","family":"Nijssen","given":"RPL","non-dropping-particle":"","parse-names":false,"suffix":""}],"container-title":"Proc. 2003 European Wind Energy Conference and Exhibition","id":"ITEM-1","issued":{"date-parts":[["2003"]]},"title":"Introduction to the OPTIMAT BLADES project","type":"paper-conference"},"uris":["http://www.mendeley.com/documents/?uuid=c87660c0-d58e-4de4-af90-e7ab66c21872"]},{"id":"ITEM-2","itemData":{"author":[{"dropping-particle":"","family":"Gamesa Corporación Tecnológica","given":"","non-dropping-particle":"","parse-names":false,"suffix":""}],"container-title":"European Wind Energy Association Conference 2015","id":"ITEM-2","issued":{"date-parts":[["2015"]]},"publisher":"EWEA","publisher-place":"Paris","title":"Gamesa Life Extension Program","type":"paper-conference"},"uris":["http://www.mendeley.com/documents/?uuid=948381b8-133f-4b96-9dc1-2534769fdeed"]},{"id":"ITEM-3","itemData":{"ISBN":"9781909980686","abstract":"The views expressed in this report are Green Alliance's own. Green Alliance Green Alliance is a charity and independent think tank focused on ambitious leadership for the environment. We have a track record of over 35 years, working with the most influential leaders from the NGO, business, and political communities. Our work generates new thinking and dialogue, and has increased political action and support for environmental solutions in the UK. Acknowledgements With thanks to Julie Hill for chairing the steering group, the workshops and the public meetings involved in this project. Thanks to Nick Cliffe from Innovate UK, Mike Hinton from the High Value Manufacturing Catapult, Robert Felstead from the Engineering and Physical Sciences Research Council and Carolyn Roberts from the Knowledge Transfer Network for their guidance as steering group members. And thanks to Jasper Keech for his extensive research on bioplastics and additive manufacturing, Emily Coats for hers on carbon fibre reinforced polymers, and Professor Steve Pickering and Stella Job for their input on recycled carbon fibre technologies and markets. We are grateful to Innovate UK, the High Value Manufacturing Catapult and the Engineering and Physical Sciences Research Council for supporting this work.","author":[{"dropping-particle":"","family":"Hazell","given":"Jonny","non-dropping-particle":"","parse-names":false,"suffix":""}],"id":"ITEM-3","issued":{"date-parts":[["2017"]]},"number-of-pages":"11-16","publisher-place":"London","title":"Developing a circular economy for novel materials","type":"report"},"uris":["http://www.mendeley.com/documents/?uuid=ea5e8193-4698-4b89-90b2-7f21636e0d83"]}],"mendeley":{"formattedCitation":"(Gamesa Corporación Tecnológica, 2015; Hazell, 2017; Wingerde and Nijssen, 2003)","plainTextFormattedCitation":"(Gamesa Corporación Tecnológica, 2015; Hazell, 2017; Wingerde and Nijssen, 2003)","previouslyFormattedCitation":"(Gamesa Corporación Tecnológica, 2015; Hazell, 2017; Wingerde and Nijssen, 2003)"},"properties":{"noteIndex":0},"schema":"https://github.com/citation-style-language/schema/raw/master/csl-citation.json"}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(Gamesa Corporación Tecnológica, 2015; Hazell, 2017; Wingerde and Nijssen, 2003)</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The feasibility of the concept has been demonstrated, and blade manufacturers and O&amp;M service providers now provide this service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Sayer","given":"F","non-dropping-particle":"","parse-names":false,"suffix":""},{"dropping-particle":"","family":"Bürkner","given":"F","non-dropping-particle":"","parse-names":false,"suffix":""},{"dropping-particle":"","family":"Blunk","given":"M","non-dropping-particle":"","parse-names":false,"suffix":""},{"dropping-particle":"","family":"Wingerde","given":"A M","non-dropping-particle":"Van","parse-names":false,"suffix":""},{"dropping-particle":"","family":"Busmann","given":"H","non-dropping-particle":"","parse-names":false,"suffix":""}],"container-title":"DEWI Magazin","id":"ITEM-1","issue":"34","issued":{"date-parts":[["2009"]]},"note":"NULL","page":"24-31","title":"Influence of Loads and Environmental Conditions on Material Properties over the Service Life of Rotor Blades","type":"article-magazine"},"uris":["http://www.mendeley.com/documents/?uuid=19ed5b79-36b5-4346-b636-84c1780abc4a"]},{"id":"ITEM-2","itemData":{"author":[{"dropping-particle":"","family":"Natural Power","given":"","non-dropping-particle":"","parse-names":false,"suffix":""}],"id":"ITEM-2","issued":{"date-parts":[["2015"]]},"title":"Re-Powering, Up-Powering &amp; Life Extension","type":"report"},"uris":["http://www.mendeley.com/documents/?uuid=2f8ca2fc-1f6e-40b9-ba8f-87d90d705ecd"]},{"id":"ITEM-3","itemData":{"DOI":"10.1007/978-3-319-39095-6","ISBN":"978-3-319-39094-9","author":[{"dropping-particle":"","family":"Beauson","given":"Justine","non-dropping-particle":"","parse-names":false,"suffix":""},{"dropping-particle":"","family":"Brøndsted","given":"Povl","non-dropping-particle":"","parse-names":false,"suffix":""}],"chapter-number":"23","container-title":"MARE-WINT","editor":[{"dropping-particle":"","family":"Ostachowicz","given":"Wiesław","non-dropping-particle":"","parse-names":false,"suffix":""}],"id":"ITEM-3","issued":{"date-parts":[["2016"]]},"note":"NULL","page":"421-432","publisher":"Springer","title":"Wind Turbine Blades: An End of Life Perspective","type":"chapter"},"uris":["http://www.mendeley.com/documents/?uuid=c94a1ec2-2d16-4086-b64e-a571b923b3f0"]}],"mendeley":{"formattedCitation":"(Beauson and Brøndsted, 2016; Natural Power, 2015; Sayer et al., 2009)","plainTextFormattedCitation":"(Beauson and Brøndsted, 2016; Natural Power, 2015; Sayer et al., 2009)","previouslyFormattedCitation":"(Beauson and Brøndsted, 2016; Natural Power, 2015; Sayer et al., 2009)"},"properties":{"noteIndex":0},"schema":"https://github.com/citation-style-language/schema/raw/master/csl-citation.json"}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(Beauson and Brøndsted, 2016; Natural Power, 2015; Sayer et al., 2009)</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However, when a product nears its designed end of life, the risk of </w:t>
      </w:r>
      <w:r w:rsidR="002C361E">
        <w:rPr>
          <w:rFonts w:ascii="Helvetica" w:eastAsia="Times New Roman" w:hAnsi="Helvetica" w:cs="Times New Roman"/>
          <w:sz w:val="22"/>
          <w:szCs w:val="22"/>
          <w:lang w:eastAsia="en-GB"/>
        </w:rPr>
        <w:t>develop</w:t>
      </w:r>
      <w:r w:rsidR="002C361E" w:rsidRPr="00B44120">
        <w:rPr>
          <w:rFonts w:ascii="Helvetica" w:eastAsia="Times New Roman" w:hAnsi="Helvetica" w:cs="Times New Roman"/>
          <w:sz w:val="22"/>
          <w:szCs w:val="22"/>
          <w:lang w:eastAsia="en-GB"/>
        </w:rPr>
        <w:t xml:space="preserve">ing </w:t>
      </w:r>
      <w:r w:rsidR="002C361E">
        <w:rPr>
          <w:rFonts w:ascii="Helvetica" w:eastAsia="Times New Roman" w:hAnsi="Helvetica" w:cs="Times New Roman"/>
          <w:sz w:val="22"/>
          <w:szCs w:val="22"/>
          <w:lang w:eastAsia="en-GB"/>
        </w:rPr>
        <w:t xml:space="preserve">widespread </w:t>
      </w:r>
      <w:r w:rsidRPr="00B44120">
        <w:rPr>
          <w:rFonts w:ascii="Helvetica" w:eastAsia="Times New Roman" w:hAnsi="Helvetica" w:cs="Times New Roman"/>
          <w:sz w:val="22"/>
          <w:szCs w:val="22"/>
          <w:lang w:eastAsia="en-GB"/>
        </w:rPr>
        <w:t xml:space="preserve">problems increases. Research from </w:t>
      </w:r>
      <w:proofErr w:type="spellStart"/>
      <w:r w:rsidRPr="00B44120">
        <w:rPr>
          <w:rFonts w:ascii="Helvetica" w:eastAsia="Times New Roman" w:hAnsi="Helvetica" w:cs="Times New Roman"/>
          <w:sz w:val="22"/>
          <w:szCs w:val="22"/>
          <w:lang w:eastAsia="en-GB"/>
        </w:rPr>
        <w:t>Gamesa</w:t>
      </w:r>
      <w:proofErr w:type="spellEnd"/>
      <w:r w:rsidRPr="00B44120">
        <w:rPr>
          <w:rFonts w:ascii="Helvetica" w:eastAsia="Times New Roman" w:hAnsi="Helvetica" w:cs="Times New Roman"/>
          <w:sz w:val="22"/>
          <w:szCs w:val="22"/>
          <w:lang w:eastAsia="en-GB"/>
        </w:rPr>
        <w:t xml:space="preserve"> supports this for WT blades, indicating that structural problems begin to arise, mainly in root connections and bonding, starting on blades of around 17-18 years old</w:t>
      </w:r>
      <w:r w:rsidR="002C361E">
        <w:rPr>
          <w:rFonts w:ascii="Helvetica" w:eastAsia="Times New Roman" w:hAnsi="Helvetica" w:cs="Times New Roman"/>
          <w:sz w:val="22"/>
          <w:szCs w:val="22"/>
          <w:lang w:eastAsia="en-GB"/>
        </w:rPr>
        <w:t>.</w:t>
      </w:r>
      <w:r w:rsidR="002C361E" w:rsidRPr="00B44120">
        <w:rPr>
          <w:rFonts w:ascii="Helvetica" w:eastAsia="Times New Roman" w:hAnsi="Helvetica" w:cs="Times New Roman"/>
          <w:sz w:val="22"/>
          <w:szCs w:val="22"/>
          <w:lang w:eastAsia="en-GB"/>
        </w:rPr>
        <w:t xml:space="preserve"> </w:t>
      </w:r>
      <w:proofErr w:type="spellStart"/>
      <w:r w:rsidRPr="00B44120">
        <w:rPr>
          <w:rFonts w:ascii="Helvetica" w:eastAsia="Times New Roman" w:hAnsi="Helvetica" w:cs="Times New Roman"/>
          <w:sz w:val="22"/>
          <w:szCs w:val="22"/>
          <w:lang w:eastAsia="en-GB"/>
        </w:rPr>
        <w:t>Gamesa</w:t>
      </w:r>
      <w:proofErr w:type="spellEnd"/>
      <w:r w:rsidRPr="00B44120">
        <w:rPr>
          <w:rFonts w:ascii="Helvetica" w:eastAsia="Times New Roman" w:hAnsi="Helvetica" w:cs="Times New Roman"/>
          <w:sz w:val="22"/>
          <w:szCs w:val="22"/>
          <w:lang w:eastAsia="en-GB"/>
        </w:rPr>
        <w:t xml:space="preserve"> </w:t>
      </w:r>
      <w:r w:rsidR="002C361E">
        <w:rPr>
          <w:rFonts w:ascii="Helvetica" w:eastAsia="Times New Roman" w:hAnsi="Helvetica" w:cs="Times New Roman"/>
          <w:sz w:val="22"/>
          <w:szCs w:val="22"/>
          <w:lang w:eastAsia="en-GB"/>
        </w:rPr>
        <w:t>predicts</w:t>
      </w:r>
      <w:r w:rsidR="002C361E"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these blades will have more problems as they approach and pass the designed service time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{"citationItems":[{"id":"ITEM-1","itemData":{"author":[{"dropping-particle":"","family":"Gamesa Corporación Tecnológica","given":"","non-dropping-particle":"","parse-names":false,"suffix":""}],"container-title":"European Wind Energy Association Conference 2015","id":"ITEM-1","issued":{"date-parts":[["2015"]]},"publisher":"EWEA","publisher-place":"Paris","title":"Gamesa Life Extension Program","type":"paper-conference"},"uris":["http://www.mendeley.com/documents/?uuid=948381b8-133f-4b96-9dc1-2534769fdeed"]}],"mendeley":{"formattedCitation":"(Gamesa Corporación Tecnológica, 2015)","plainTextFormattedCitation":"(Gamesa Corporación Tecnológica, 2015)","previouslyFormattedCitation":"(Gamesa Corporación Tecnológica, 2015)"},"properties":{"noteIndex":0},"schema":"https://github.com/citation-style-language/schema/raw/master/csl-citation.json"}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(Gamesa Corporación Tecnológica, 2015)</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B</w:t>
      </w:r>
      <w:r w:rsidRPr="00B44120">
        <w:rPr>
          <w:rFonts w:ascii="Helvetica" w:eastAsia="Times New Roman" w:hAnsi="Helvetica" w:cs="Times New Roman" w:hint="eastAsia"/>
          <w:sz w:val="22"/>
          <w:szCs w:val="22"/>
          <w:lang w:eastAsia="en-GB"/>
        </w:rPr>
        <w:t xml:space="preserve">ased on this premise, </w:t>
      </w:r>
      <w:r w:rsidRPr="00B44120">
        <w:rPr>
          <w:rFonts w:ascii="Helvetica" w:eastAsia="Times New Roman" w:hAnsi="Helvetica" w:cs="Times New Roman"/>
          <w:sz w:val="22"/>
          <w:szCs w:val="22"/>
          <w:lang w:eastAsia="en-GB"/>
        </w:rPr>
        <w:t xml:space="preserve">we assume the O&amp;M </w:t>
      </w:r>
      <w:r w:rsidRPr="00B44120">
        <w:rPr>
          <w:rFonts w:ascii="Helvetica" w:eastAsia="Times New Roman" w:hAnsi="Helvetica" w:cs="Times New Roman" w:hint="eastAsia"/>
          <w:sz w:val="22"/>
          <w:szCs w:val="22"/>
          <w:lang w:eastAsia="en-GB"/>
        </w:rPr>
        <w:t xml:space="preserve">demand </w:t>
      </w:r>
      <w:r w:rsidRPr="00B44120">
        <w:rPr>
          <w:rFonts w:ascii="Helvetica" w:eastAsia="Times New Roman" w:hAnsi="Helvetica" w:cs="Times New Roman"/>
          <w:sz w:val="22"/>
          <w:szCs w:val="22"/>
          <w:lang w:eastAsia="en-GB"/>
        </w:rPr>
        <w:t>in the life extension period will be double that of the designed lifetime and that the environmental impact will also double. The life extension is set to 2 years, 5 years and 10 years for analysis. For example, the lifetime O&amp;M energy consumption of the hybri</w:t>
      </w:r>
      <w:r w:rsidR="00BB451B">
        <w:rPr>
          <w:rFonts w:ascii="Helvetica" w:eastAsia="Times New Roman" w:hAnsi="Helvetica" w:cs="Times New Roman"/>
          <w:sz w:val="22"/>
          <w:szCs w:val="22"/>
          <w:lang w:eastAsia="en-GB"/>
        </w:rPr>
        <w:t xml:space="preserve">d blade is 26.3 GJ (see Table </w:t>
      </w:r>
      <w:r w:rsidRPr="00B44120">
        <w:rPr>
          <w:rFonts w:ascii="Helvetica" w:eastAsia="Times New Roman" w:hAnsi="Helvetica" w:cs="Times New Roman"/>
          <w:sz w:val="22"/>
          <w:szCs w:val="22"/>
          <w:lang w:eastAsia="en-GB"/>
        </w:rPr>
        <w:t xml:space="preserve">3). The </w:t>
      </w:r>
      <w:r w:rsidR="009F1192">
        <w:rPr>
          <w:rFonts w:ascii="Helvetica" w:eastAsia="Times New Roman" w:hAnsi="Helvetica" w:cs="Times New Roman"/>
          <w:sz w:val="22"/>
          <w:szCs w:val="22"/>
          <w:lang w:eastAsia="en-GB"/>
        </w:rPr>
        <w:t xml:space="preserve">annual </w:t>
      </w:r>
      <w:r w:rsidRPr="00B44120">
        <w:rPr>
          <w:rFonts w:ascii="Helvetica" w:eastAsia="Times New Roman" w:hAnsi="Helvetica" w:cs="Times New Roman"/>
          <w:sz w:val="22"/>
          <w:szCs w:val="22"/>
          <w:lang w:eastAsia="en-GB"/>
        </w:rPr>
        <w:t xml:space="preserve">O&amp;M demand is assumed to double in the </w:t>
      </w:r>
      <w:r w:rsidR="009F1192" w:rsidRPr="00B44120">
        <w:rPr>
          <w:rFonts w:ascii="Helvetica" w:eastAsia="Times New Roman" w:hAnsi="Helvetica" w:cs="Times New Roman"/>
          <w:sz w:val="22"/>
          <w:szCs w:val="22"/>
          <w:lang w:eastAsia="en-GB"/>
        </w:rPr>
        <w:t>exten</w:t>
      </w:r>
      <w:r w:rsidR="009F1192">
        <w:rPr>
          <w:rFonts w:ascii="Helvetica" w:eastAsia="Times New Roman" w:hAnsi="Helvetica" w:cs="Times New Roman"/>
          <w:sz w:val="22"/>
          <w:szCs w:val="22"/>
          <w:lang w:eastAsia="en-GB"/>
        </w:rPr>
        <w:t>sion</w:t>
      </w:r>
      <w:r w:rsidR="009F1192"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period, so the energy consumption is also doubled making it 26.3*2/20=2.63 GJ/year. The unit processing energy of a hybrid blade, for example, with a two-year life extension</w:t>
      </w:r>
      <w:r w:rsidR="009F1192">
        <w:rPr>
          <w:rFonts w:ascii="Helvetica" w:eastAsia="Times New Roman" w:hAnsi="Helvetica" w:cs="Times New Roman"/>
          <w:sz w:val="22"/>
          <w:szCs w:val="22"/>
          <w:lang w:eastAsia="en-GB"/>
        </w:rPr>
        <w:t>,</w:t>
      </w:r>
      <w:r w:rsidRPr="00B44120">
        <w:rPr>
          <w:rFonts w:ascii="Helvetica" w:eastAsia="Times New Roman" w:hAnsi="Helvetica" w:cs="Times New Roman"/>
          <w:sz w:val="22"/>
          <w:szCs w:val="22"/>
          <w:lang w:eastAsia="en-GB"/>
        </w:rPr>
        <w:t xml:space="preserve"> is 2.63 GJ/year * 2 years * 1000 GJ to MJ / 7500 kg (average finished blade weight) = 0.7 MJ/kg. The LE process energies for </w:t>
      </w:r>
      <w:r w:rsidR="009F1192">
        <w:rPr>
          <w:rFonts w:ascii="Helvetica" w:eastAsia="Times New Roman" w:hAnsi="Helvetica" w:cs="Times New Roman"/>
          <w:sz w:val="22"/>
          <w:szCs w:val="22"/>
          <w:lang w:eastAsia="en-GB"/>
        </w:rPr>
        <w:t xml:space="preserve">the </w:t>
      </w:r>
      <w:r w:rsidRPr="00B44120">
        <w:rPr>
          <w:rFonts w:ascii="Helvetica" w:eastAsia="Times New Roman" w:hAnsi="Helvetica" w:cs="Times New Roman"/>
          <w:sz w:val="22"/>
          <w:szCs w:val="22"/>
          <w:lang w:eastAsia="en-GB"/>
        </w:rPr>
        <w:t>other two blade models and for 5 years and 10 years are calculated in the same way.</w:t>
      </w:r>
    </w:p>
    <w:p w14:paraId="33328947" w14:textId="75952860" w:rsidR="00B4412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Lab-scale recycling technologies include MAP</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chemical recycling</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and HVF</w:t>
      </w:r>
      <w:r w:rsidRPr="00B44120">
        <w:rPr>
          <w:rFonts w:ascii="Helvetica" w:eastAsia="Times New Roman" w:hAnsi="Helvetica" w:cs="Times New Roman" w:hint="eastAsia"/>
          <w:sz w:val="22"/>
          <w:szCs w:val="22"/>
          <w:lang w:eastAsia="en-GB"/>
        </w:rPr>
        <w:t>.</w:t>
      </w:r>
      <w:r w:rsidRPr="00B44120">
        <w:rPr>
          <w:rFonts w:ascii="Helvetica" w:eastAsia="Times New Roman" w:hAnsi="Helvetica" w:cs="Times New Roman"/>
          <w:sz w:val="22"/>
          <w:szCs w:val="22"/>
          <w:lang w:eastAsia="en-GB"/>
        </w:rPr>
        <w:t xml:space="preserve"> </w:t>
      </w:r>
      <w:r w:rsidR="0022684A">
        <w:rPr>
          <w:rFonts w:ascii="Helvetica" w:eastAsia="Times New Roman" w:hAnsi="Helvetica" w:cs="Times New Roman"/>
          <w:sz w:val="22"/>
          <w:szCs w:val="22"/>
          <w:lang w:eastAsia="en-GB"/>
        </w:rPr>
        <w:t xml:space="preserve">The </w:t>
      </w:r>
      <w:r w:rsidRPr="00B44120">
        <w:rPr>
          <w:rFonts w:ascii="Helvetica" w:eastAsia="Times New Roman" w:hAnsi="Helvetica" w:cs="Times New Roman" w:hint="eastAsia"/>
          <w:sz w:val="22"/>
          <w:szCs w:val="22"/>
          <w:lang w:eastAsia="en-GB"/>
        </w:rPr>
        <w:t>MAP</w:t>
      </w:r>
      <w:r w:rsidR="007C6C72">
        <w:rPr>
          <w:rFonts w:ascii="Helvetica" w:eastAsia="Times New Roman" w:hAnsi="Helvetica" w:cs="Times New Roman"/>
          <w:sz w:val="22"/>
          <w:szCs w:val="22"/>
          <w:lang w:eastAsia="en-GB"/>
        </w:rPr>
        <w:t xml:space="preserve"> process</w:t>
      </w:r>
      <w:r w:rsidRPr="00B44120">
        <w:rPr>
          <w:rFonts w:ascii="Helvetica" w:eastAsia="Times New Roman" w:hAnsi="Helvetica" w:cs="Times New Roman"/>
          <w:sz w:val="22"/>
          <w:szCs w:val="22"/>
          <w:lang w:eastAsia="en-GB"/>
        </w:rPr>
        <w:t xml:space="preserve"> involves</w:t>
      </w:r>
      <w:r w:rsidR="0022684A" w:rsidRPr="00B44120">
        <w:rPr>
          <w:rFonts w:ascii="Helvetica" w:eastAsia="Times New Roman" w:hAnsi="Helvetica" w:cs="Times New Roman"/>
          <w:sz w:val="22"/>
          <w:szCs w:val="22"/>
          <w:lang w:eastAsia="en-GB"/>
        </w:rPr>
        <w:t xml:space="preserve"> microwave</w:t>
      </w:r>
      <w:r w:rsidRPr="00B44120">
        <w:rPr>
          <w:rFonts w:ascii="Helvetica" w:eastAsia="Times New Roman" w:hAnsi="Helvetica" w:cs="Times New Roman"/>
          <w:sz w:val="22"/>
          <w:szCs w:val="22"/>
          <w:lang w:eastAsia="en-GB"/>
        </w:rPr>
        <w:t xml:space="preserve"> heating the material from the inside</w:t>
      </w:r>
      <w:r w:rsidR="0022684A">
        <w:rPr>
          <w:rFonts w:ascii="Helvetica" w:eastAsia="Times New Roman" w:hAnsi="Helvetica" w:cs="Times New Roman"/>
          <w:sz w:val="22"/>
          <w:szCs w:val="22"/>
          <w:lang w:eastAsia="en-GB"/>
        </w:rPr>
        <w:t>,</w:t>
      </w:r>
      <w:r w:rsidR="0022684A" w:rsidRPr="00B44120">
        <w:rPr>
          <w:rFonts w:ascii="Helvetica" w:eastAsia="Times New Roman" w:hAnsi="Helvetica" w:cs="Times New Roman"/>
          <w:sz w:val="22"/>
          <w:szCs w:val="22"/>
          <w:lang w:eastAsia="en-GB"/>
        </w:rPr>
        <w:t xml:space="preserve"> saving</w:t>
      </w:r>
      <w:r w:rsidRPr="00B44120">
        <w:rPr>
          <w:rFonts w:ascii="Helvetica" w:eastAsia="Times New Roman" w:hAnsi="Helvetica" w:cs="Times New Roman"/>
          <w:sz w:val="22"/>
          <w:szCs w:val="22"/>
          <w:lang w:eastAsia="en-GB"/>
        </w:rPr>
        <w:t xml:space="preserve"> energy compared to conventional pyrolysis. Its energy consumption is reported as 10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Suzuki","given":"Tetsuya","non-dropping-particle":"","parse-names":false,"suffix":""},{"dropping-particle":"","family":"Takahashi","given":"Jun","non-dropping-particle":"","parse-names":false,"suffix":""}],"container-title":"Japan International SAMPE Symposium JISSE-9","id":"ITEM-1","issued":{"date-parts":[["2005"]]},"page":"14-19","title":"Prediction of energy intensity of carbon fiber reinforced plastics for mass-produced passenger cars","type":"article-journal"},"uris":["http://www.mendeley.com/documents/?uuid=b52d38ad-b7ac-41b0-b4c7-e055e1dfb8a3"]}],"mendeley":{"formattedCitation":"(Suzuki and Takahashi, 2005)","plainTextFormattedCitation":"(Suzuki and Takahashi, 2005)","previouslyFormattedCitation":"(Suzuki and Takahashi, 2005)"},"properties":{"noteIndex":0},"schema":"https://github.com/citation-style-language/schema/raw/master/csl-citation.json"}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(Suzuki and Takahashi, 2005)</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w:t>
      </w:r>
    </w:p>
    <w:p w14:paraId="23FD8157" w14:textId="29A46344" w:rsidR="00B4412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The two major chemical recycling technologies are hydrolysis and </w:t>
      </w:r>
      <w:proofErr w:type="spellStart"/>
      <w:r w:rsidRPr="00B44120">
        <w:rPr>
          <w:rFonts w:ascii="Helvetica" w:eastAsia="Times New Roman" w:hAnsi="Helvetica" w:cs="Times New Roman"/>
          <w:sz w:val="22"/>
          <w:szCs w:val="22"/>
          <w:lang w:eastAsia="en-GB"/>
        </w:rPr>
        <w:t>solvolysis</w:t>
      </w:r>
      <w:proofErr w:type="spellEnd"/>
      <w:r w:rsidRPr="00B44120">
        <w:rPr>
          <w:rFonts w:ascii="Helvetica" w:eastAsia="Times New Roman" w:hAnsi="Helvetica" w:cs="Times New Roman"/>
          <w:sz w:val="22"/>
          <w:szCs w:val="22"/>
          <w:lang w:eastAsia="en-GB"/>
        </w:rPr>
        <w:t xml:space="preserve">, each of which has many mutations with different reaction temperatures, pressure, time and solvents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{"citationItems":[{"id":"ITEM-1","itemData":{"DOI":"10.1016/j.pmatsci.2015.01.004","ISBN":"0079-6425","ISSN":"00796425","abstract":"A complete review of the different techniques that have been developed to recycle fibre reinforced polymers is presented. The review also focuses on the reuse of valuable products recovered by different techniques, in particular the way that fibres have been reincorporated into new materials or applications and the main technological issues encountered. Recycled glass fibres can replace small amounts of virgin fibres in products but not at high enough concentrations to make their recycling economically and environmentally viable, if for example, thermolysis or solvolysis is used. Reclaimed carbon fibres from high-technology applications cannot be reincorporated in the same applications from which they were recovered, so new appropriate applications have to be developed in order to reuse the fibres. Materials incorporating recycled fibres exhibit specific mechanical properties because of the particular characteristics imparted by the fibres. The development of specific standards is therefore necessary, as well as efforts in the development of solutions that enable reusers to benefit from their reinforcement potential. The recovery and reuse of valuable products from resins are also considered, but also the development of recyclable thermoset resins. Finally, the economic and environmental aspects of recycling composite materials, based on Life Cycle Assessment, are discussed.","author":[{"dropping-particle":"","family":"Oliveux","given":"Géraldine","non-dropping-particle":"","parse-names":false,"suffix":""},{"dropping-particle":"","family":"Dandy","given":"Luke O.","non-dropping-particle":"","parse-names":false,"suffix":""},{"dropping-particle":"","family":"Leeke","given":"Gary a.","non-dropping-particle":"","parse-names":false,"suffix":""}],"container-title":"Progress in Materials Science","id":"ITEM-1","issued":{"date-parts":[["2015"]]},"page":"61-99","title":"Current Status of Recycling of Fibre Reinforced Polymers: review of technologies, reuse and resulting properties","type":"article-journal","volume":"72"},"uris":["http://www.mendeley.com/documents/?uuid=a560578c-0f79-44bf-a662-f8dddd90786d"]}],"mendeley":{"formattedCitation":"(Oliveux et al., 2015)","plainTextFormattedCitation":"(Oliveux et al., 2015)","previouslyFormattedCitation":"(Oliveux et al., 2015)"},"properties":{"noteIndex":0},"schema":"https://github.com/citation-style-language/schema/raw/master/csl-citation.json"}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(Oliveux et al., 2015)</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w:t>
      </w:r>
      <w:r w:rsidR="00476E85">
        <w:rPr>
          <w:rFonts w:ascii="Helvetica" w:eastAsia="Times New Roman" w:hAnsi="Helvetica" w:cs="Times New Roman"/>
          <w:sz w:val="22"/>
          <w:szCs w:val="22"/>
          <w:lang w:eastAsia="en-GB"/>
        </w:rPr>
        <w:t>T</w:t>
      </w:r>
      <w:r w:rsidRPr="00B44120">
        <w:rPr>
          <w:rFonts w:ascii="Helvetica" w:eastAsia="Times New Roman" w:hAnsi="Helvetica" w:cs="Times New Roman"/>
          <w:sz w:val="22"/>
          <w:szCs w:val="22"/>
          <w:lang w:eastAsia="en-GB"/>
        </w:rPr>
        <w:t xml:space="preserve">he key process of chemical recycling is removing the </w:t>
      </w:r>
      <w:r w:rsidR="00411CA5">
        <w:rPr>
          <w:rFonts w:ascii="Helvetica" w:eastAsia="Times New Roman" w:hAnsi="Helvetica" w:cs="Times New Roman"/>
          <w:sz w:val="22"/>
          <w:szCs w:val="22"/>
          <w:lang w:eastAsia="en-GB"/>
        </w:rPr>
        <w:t xml:space="preserve">polymer </w:t>
      </w:r>
      <w:r w:rsidRPr="00B44120">
        <w:rPr>
          <w:rFonts w:ascii="Helvetica" w:eastAsia="Times New Roman" w:hAnsi="Helvetica" w:cs="Times New Roman"/>
          <w:sz w:val="22"/>
          <w:szCs w:val="22"/>
          <w:lang w:eastAsia="en-GB"/>
        </w:rPr>
        <w:t>matrix of composites through chemical reaction. Several studies have looked at its energy consumption.  T</w:t>
      </w:r>
      <w:r w:rsidRPr="00B44120">
        <w:rPr>
          <w:rFonts w:ascii="Helvetica" w:eastAsia="Times New Roman" w:hAnsi="Helvetica" w:cs="Times New Roman" w:hint="eastAsia"/>
          <w:sz w:val="22"/>
          <w:szCs w:val="22"/>
          <w:lang w:eastAsia="en-GB"/>
        </w:rPr>
        <w:t xml:space="preserve">he energy consumption </w:t>
      </w:r>
      <w:r w:rsidRPr="00B44120">
        <w:rPr>
          <w:rFonts w:ascii="Helvetica" w:eastAsia="Times New Roman" w:hAnsi="Helvetica" w:cs="Times New Roman"/>
          <w:sz w:val="22"/>
          <w:szCs w:val="22"/>
          <w:lang w:eastAsia="en-GB"/>
        </w:rPr>
        <w:t>used to</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 xml:space="preserve">dissolve a CFRP tennis racket is reported as </w:t>
      </w:r>
      <w:r w:rsidRPr="00B44120">
        <w:rPr>
          <w:rFonts w:ascii="Helvetica" w:eastAsia="Times New Roman" w:hAnsi="Helvetica" w:cs="Times New Roman"/>
          <w:sz w:val="22"/>
          <w:szCs w:val="22"/>
          <w:lang w:eastAsia="en-GB"/>
        </w:rPr>
        <w:lastRenderedPageBreak/>
        <w:t xml:space="preserve">being between 63 MJ/kg and 91 MJ/kg, and the higher the processing volume, the lower the unit energy consumption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Shibata","given":"Katsuji;","non-dropping-particle":"","parse-names":false,"suffix":""},{"dropping-particle":"","family":"Nakagawa","given":"Mitsutoshi","non-dropping-particle":"","parse-names":false,"suffix":""}],"id":"ITEM-1","issue":"56","issued":{"date-parts":[["2014"]]},"title":"Hitachi Chemical Technical Report: CFRP Recycling Technology Using Depolymerization under Ordinary Pressure","type":"report"},"uris":["http://www.mendeley.com/documents/?uuid=c3f51554-307b-411c-b538-92865a28bff1"]}],"mendeley":{"formattedCitation":"(Shibata and Nakagawa, 2014)","plainTextFormattedCitation":"(Shibata and Nakagawa, 2014)","previouslyFormattedCitation":"(Shibata and Nakagawa, 2014)"},"properties":{"noteIndex":0},"schema":"https://github.com/citation-style-language/schema/raw/master/csl-citation.json"}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(Shibata and Nakagawa, 2014)</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w:t>
      </w:r>
      <w:r w:rsidR="009F1192">
        <w:rPr>
          <w:rFonts w:ascii="Helvetica" w:eastAsia="Times New Roman" w:hAnsi="Helvetica" w:cs="Times New Roman"/>
          <w:sz w:val="22"/>
          <w:szCs w:val="22"/>
          <w:lang w:eastAsia="en-GB"/>
        </w:rPr>
        <w:t>For</w:t>
      </w:r>
      <w:r w:rsidR="009F1192" w:rsidRPr="00B44120">
        <w:rPr>
          <w:rFonts w:ascii="Helvetica" w:eastAsia="Times New Roman" w:hAnsi="Helvetica" w:cs="Times New Roman"/>
          <w:sz w:val="22"/>
          <w:szCs w:val="22"/>
          <w:lang w:eastAsia="en-GB"/>
        </w:rPr>
        <w:t xml:space="preserve"> </w:t>
      </w:r>
      <w:proofErr w:type="spellStart"/>
      <w:r w:rsidR="009F1192" w:rsidRPr="00B44120">
        <w:rPr>
          <w:rFonts w:ascii="Helvetica" w:eastAsia="Times New Roman" w:hAnsi="Helvetica" w:cs="Times New Roman"/>
          <w:sz w:val="22"/>
          <w:szCs w:val="22"/>
          <w:lang w:eastAsia="en-GB"/>
        </w:rPr>
        <w:t>solvolysis</w:t>
      </w:r>
      <w:proofErr w:type="spellEnd"/>
      <w:r w:rsidR="009F1192" w:rsidRPr="00B44120">
        <w:rPr>
          <w:rFonts w:ascii="Helvetica" w:eastAsia="Times New Roman" w:hAnsi="Helvetica" w:cs="Times New Roman"/>
          <w:sz w:val="22"/>
          <w:szCs w:val="22"/>
          <w:lang w:eastAsia="en-GB"/>
        </w:rPr>
        <w:t xml:space="preserve"> of </w:t>
      </w:r>
      <w:r w:rsidR="009F1192">
        <w:rPr>
          <w:rFonts w:ascii="Helvetica" w:eastAsia="Times New Roman" w:hAnsi="Helvetica" w:cs="Times New Roman"/>
          <w:sz w:val="22"/>
          <w:szCs w:val="22"/>
          <w:lang w:eastAsia="en-GB"/>
        </w:rPr>
        <w:t xml:space="preserve">CFRP waste a </w:t>
      </w:r>
      <w:r w:rsidR="00A50D95">
        <w:rPr>
          <w:rFonts w:ascii="Helvetica" w:eastAsia="Times New Roman" w:hAnsi="Helvetica" w:cs="Times New Roman"/>
          <w:sz w:val="22"/>
          <w:szCs w:val="22"/>
          <w:lang w:eastAsia="en-GB"/>
        </w:rPr>
        <w:t xml:space="preserve">range of </w:t>
      </w:r>
      <w:r w:rsidRPr="00B44120">
        <w:rPr>
          <w:rFonts w:ascii="Helvetica" w:eastAsia="Times New Roman" w:hAnsi="Helvetica" w:cs="Times New Roman"/>
          <w:sz w:val="22"/>
          <w:szCs w:val="22"/>
          <w:lang w:eastAsia="en-GB"/>
        </w:rPr>
        <w:t>process energ</w:t>
      </w:r>
      <w:r w:rsidR="00A50D95">
        <w:rPr>
          <w:rFonts w:ascii="Helvetica" w:eastAsia="Times New Roman" w:hAnsi="Helvetica" w:cs="Times New Roman"/>
          <w:sz w:val="22"/>
          <w:szCs w:val="22"/>
          <w:lang w:eastAsia="en-GB"/>
        </w:rPr>
        <w:t xml:space="preserve">ies </w:t>
      </w:r>
      <w:r w:rsidR="009B642D">
        <w:rPr>
          <w:rFonts w:ascii="Helvetica" w:eastAsia="Times New Roman" w:hAnsi="Helvetica" w:cs="Times New Roman"/>
          <w:sz w:val="22"/>
          <w:szCs w:val="22"/>
          <w:lang w:eastAsia="en-GB"/>
        </w:rPr>
        <w:t>is reported</w:t>
      </w:r>
      <w:r w:rsidR="009F1192">
        <w:rPr>
          <w:rFonts w:ascii="Helvetica" w:eastAsia="Times New Roman" w:hAnsi="Helvetica" w:cs="Times New Roman"/>
          <w:sz w:val="22"/>
          <w:szCs w:val="22"/>
          <w:lang w:eastAsia="en-GB"/>
        </w:rPr>
        <w:t>,</w:t>
      </w:r>
      <w:r w:rsidR="009B642D">
        <w:rPr>
          <w:rFonts w:ascii="Helvetica" w:eastAsia="Times New Roman" w:hAnsi="Helvetica" w:cs="Times New Roman"/>
          <w:sz w:val="22"/>
          <w:szCs w:val="22"/>
          <w:lang w:eastAsia="en-GB"/>
        </w:rPr>
        <w:t xml:space="preserve"> from</w:t>
      </w:r>
      <w:r w:rsidR="007244BF" w:rsidRPr="00B44120">
        <w:rPr>
          <w:rFonts w:ascii="Helvetica" w:eastAsia="Times New Roman" w:hAnsi="Helvetica" w:cs="Times New Roman"/>
          <w:sz w:val="22"/>
          <w:szCs w:val="22"/>
          <w:lang w:eastAsia="en-GB"/>
        </w:rPr>
        <w:t xml:space="preserve"> 19.2 MJ/kg</w:t>
      </w:r>
      <w:r w:rsidR="007244BF">
        <w:rPr>
          <w:rFonts w:ascii="Helvetica" w:eastAsia="Times New Roman" w:hAnsi="Helvetica" w:cs="Times New Roman"/>
          <w:sz w:val="22"/>
          <w:szCs w:val="22"/>
          <w:lang w:eastAsia="en-GB"/>
        </w:rPr>
        <w:t xml:space="preserve"> </w:t>
      </w:r>
      <w:r w:rsidR="007244BF" w:rsidRPr="00B44120">
        <w:rPr>
          <w:rFonts w:ascii="Helvetica" w:eastAsia="Times New Roman" w:hAnsi="Helvetica" w:cs="Times New Roman"/>
          <w:sz w:val="22"/>
          <w:szCs w:val="22"/>
          <w:lang w:eastAsia="en-GB"/>
        </w:rPr>
        <w:t xml:space="preserve">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Keith","given":"Matthew","non-dropping-particle":"","parse-names":false,"suffix":""},{"dropping-particle":"","family":"Oliveux","given":"Géraldine","non-dropping-particle":"","parse-names":false,"suffix":""},{"dropping-particle":"","family":"Leeke","given":"Gary A.","non-dropping-particle":"","parse-names":false,"suffix":""}],"container-title":"ECCM17 - 17th European Conference on Composite Materials","id":"ITEM-1","issue":"July","issued":{"date-parts":[["2016"]]},"page":"26-30","title":"Optimisation of Solvolysis for Recycling Carbon Fibre Reinforced composites","type":"article-journal"},"uris":["http://www.mendeley.com/documents/?uuid=4655118b-eaa0-44fa-bc3a-c81233c198e2"]}],"mendeley":{"formattedCitation":"(Keith et al., 2016)","plainTextFormattedCitation":"(Keith et al., 2016)","previouslyFormattedCitation":"(Keith et al., 2016)"},"properties":{"noteIndex":0},"schema":"https://github.com/citation-style-language/schema/raw/master/csl-citation.json"}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(Keith et al., 2016)</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w:t>
      </w:r>
      <w:r w:rsidR="007244BF">
        <w:rPr>
          <w:rFonts w:ascii="Helvetica" w:eastAsia="Times New Roman" w:hAnsi="Helvetica" w:cs="Times New Roman"/>
          <w:sz w:val="22"/>
          <w:szCs w:val="22"/>
          <w:lang w:eastAsia="en-GB"/>
        </w:rPr>
        <w:t xml:space="preserve">to </w:t>
      </w:r>
      <w:r w:rsidRPr="00B44120">
        <w:rPr>
          <w:rFonts w:ascii="Helvetica" w:eastAsia="Times New Roman" w:hAnsi="Helvetica" w:cs="Times New Roman"/>
          <w:sz w:val="22"/>
          <w:szCs w:val="22"/>
          <w:lang w:eastAsia="en-GB"/>
        </w:rPr>
        <w:t xml:space="preserve">101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{"citationItems":[{"id":"ITEM-1","itemData":{"DOI":"10.1016/j.compositesb.2016.08.015","ISSN":"13598368","abstract":"A new commercial amine-based epoxy curing agent, engineered to produce recyclable composites, was studied. Carbon fibre (CF)/epoxy composites were manufactured through high-pressure resin transfer moulding (HP-RTM) and chemically treated in order to recover clean CFs as well as an epoxy thermoplastic polymer, as recycled products. The chemical structure of the new epoxy thermoplastic polymer obtained was drawn and confirmed by polymer characterisation. Furthermore an evaluation of the avoided environmental impacts associated to the recyclability of the thermoset composite was carried out, by using the Life Cycle Assessment (LCA) method.","author":[{"dropping-particle":"","family":"Rosa","given":"A. D.","non-dropping-particle":"La","parse-names":false,"suffix":""},{"dropping-particle":"","family":"Banatao","given":"D. R.","non-dropping-particle":"","parse-names":false,"suffix":""},{"dropping-particle":"","family":"Pastine","given":"S. J.","non-dropping-particle":"","parse-names":false,"suffix":""},{"dropping-particle":"","family":"Latteri","given":"A.","non-dropping-particle":"","parse-names":false,"suffix":""},{"dropping-particle":"","family":"Cicala","given":"G.","non-dropping-particle":"","parse-names":false,"suffix":""}],"container-title":"Composites Part B: Engineering","id":"ITEM-1","issued":{"date-parts":[["2016"]]},"page":"17-25","publisher":"Elsevier Ltd","title":"Recycling treatment of carbon fibre/epoxy composites: Materials recovery and characterization and environmental impacts through life cycle assessment","type":"article-journal","volume":"104"},"uris":["http://www.mendeley.com/documents/?uuid=bdd64e78-fae0-4747-b6ac-fcaac90fcd40"]}],"mendeley":{"formattedCitation":"(La Rosa et al., 2016)","plainTextFormattedCitation":"(La Rosa et al., 2016)","previouslyFormattedCitation":"(La Rosa et al., 2016)"},"properties":{"noteIndex":0},"schema":"https://github.com/citation-style-language/schema/raw/master/csl-citation.json"}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(La Rosa et al., 2016)</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w:t>
      </w:r>
      <w:r w:rsidR="009B642D">
        <w:rPr>
          <w:rFonts w:ascii="Helvetica" w:eastAsia="Times New Roman" w:hAnsi="Helvetica" w:cs="Times New Roman"/>
          <w:sz w:val="22"/>
          <w:szCs w:val="22"/>
          <w:lang w:eastAsia="en-GB"/>
        </w:rPr>
        <w:t>Keith’s</w:t>
      </w:r>
      <w:r w:rsidRPr="00B44120">
        <w:rPr>
          <w:rFonts w:ascii="Helvetica" w:eastAsia="Times New Roman" w:hAnsi="Helvetica" w:cs="Times New Roman"/>
          <w:sz w:val="22"/>
          <w:szCs w:val="22"/>
          <w:lang w:eastAsia="en-GB"/>
        </w:rPr>
        <w:t xml:space="preserve"> figure </w:t>
      </w:r>
      <w:r w:rsidR="009B642D">
        <w:rPr>
          <w:rFonts w:ascii="Helvetica" w:eastAsia="Times New Roman" w:hAnsi="Helvetica" w:cs="Times New Roman"/>
          <w:sz w:val="22"/>
          <w:szCs w:val="22"/>
          <w:lang w:eastAsia="en-GB"/>
        </w:rPr>
        <w:t xml:space="preserve">has been adopted </w:t>
      </w:r>
      <w:r w:rsidR="00251BF1">
        <w:rPr>
          <w:rFonts w:ascii="Helvetica" w:eastAsia="Times New Roman" w:hAnsi="Helvetica" w:cs="Times New Roman"/>
          <w:sz w:val="22"/>
          <w:szCs w:val="22"/>
          <w:lang w:eastAsia="en-GB"/>
        </w:rPr>
        <w:t xml:space="preserve">for the base case since it </w:t>
      </w:r>
      <w:r w:rsidRPr="00B44120">
        <w:rPr>
          <w:rFonts w:ascii="Helvetica" w:eastAsia="Times New Roman" w:hAnsi="Helvetica" w:cs="Times New Roman"/>
          <w:sz w:val="22"/>
          <w:szCs w:val="22"/>
          <w:lang w:eastAsia="en-GB"/>
        </w:rPr>
        <w:t xml:space="preserve">is from a </w:t>
      </w:r>
      <w:r w:rsidR="000C19DB" w:rsidRPr="00B44120">
        <w:rPr>
          <w:rFonts w:ascii="Helvetica" w:eastAsia="Times New Roman" w:hAnsi="Helvetica" w:cs="Times New Roman"/>
          <w:sz w:val="22"/>
          <w:szCs w:val="22"/>
          <w:lang w:eastAsia="en-GB"/>
        </w:rPr>
        <w:t>well</w:t>
      </w:r>
      <w:r w:rsidR="000C19DB">
        <w:rPr>
          <w:rFonts w:ascii="Helvetica" w:eastAsia="Times New Roman" w:hAnsi="Helvetica" w:cs="Times New Roman"/>
          <w:sz w:val="22"/>
          <w:szCs w:val="22"/>
          <w:lang w:eastAsia="en-GB"/>
        </w:rPr>
        <w:t>-characteris</w:t>
      </w:r>
      <w:r w:rsidR="000C19DB" w:rsidRPr="00B44120">
        <w:rPr>
          <w:rFonts w:ascii="Helvetica" w:eastAsia="Times New Roman" w:hAnsi="Helvetica" w:cs="Times New Roman"/>
          <w:sz w:val="22"/>
          <w:szCs w:val="22"/>
          <w:lang w:eastAsia="en-GB"/>
        </w:rPr>
        <w:t xml:space="preserve">ed </w:t>
      </w:r>
      <w:r w:rsidRPr="00B44120">
        <w:rPr>
          <w:rFonts w:ascii="Helvetica" w:eastAsia="Times New Roman" w:hAnsi="Helvetica" w:cs="Times New Roman"/>
          <w:sz w:val="22"/>
          <w:szCs w:val="22"/>
          <w:lang w:eastAsia="en-GB"/>
        </w:rPr>
        <w:t xml:space="preserve">experiment and came from real measurements rather than an estimation </w:t>
      </w:r>
      <w:r w:rsidR="009B642D">
        <w:rPr>
          <w:rFonts w:ascii="Helvetica" w:eastAsia="Times New Roman" w:hAnsi="Helvetica" w:cs="Times New Roman"/>
          <w:sz w:val="22"/>
          <w:szCs w:val="22"/>
          <w:lang w:eastAsia="en-GB"/>
        </w:rPr>
        <w:t>from</w:t>
      </w:r>
      <w:r w:rsidRPr="00B44120">
        <w:rPr>
          <w:rFonts w:ascii="Helvetica" w:eastAsia="Times New Roman" w:hAnsi="Helvetica" w:cs="Times New Roman"/>
          <w:sz w:val="22"/>
          <w:szCs w:val="22"/>
          <w:lang w:eastAsia="en-GB"/>
        </w:rPr>
        <w:t xml:space="preserve"> modelled data </w:t>
      </w:r>
      <w:r w:rsidR="000C19DB">
        <w:rPr>
          <w:rFonts w:ascii="Helvetica" w:eastAsia="Times New Roman" w:hAnsi="Helvetica" w:cs="Times New Roman"/>
          <w:sz w:val="22"/>
          <w:szCs w:val="22"/>
          <w:lang w:eastAsia="en-GB"/>
        </w:rPr>
        <w:t xml:space="preserve">as used </w:t>
      </w:r>
      <w:r w:rsidRPr="00B44120">
        <w:rPr>
          <w:rFonts w:ascii="Helvetica" w:eastAsia="Times New Roman" w:hAnsi="Helvetica" w:cs="Times New Roman"/>
          <w:sz w:val="22"/>
          <w:szCs w:val="22"/>
          <w:lang w:eastAsia="en-GB"/>
        </w:rPr>
        <w:t xml:space="preserve">by Shibata and Nakagawa (2014) and La Rosa (2016). The high-energy consumption cases are discussed in </w:t>
      </w:r>
      <w:r w:rsidR="00251BF1">
        <w:rPr>
          <w:rFonts w:ascii="Helvetica" w:eastAsia="Times New Roman" w:hAnsi="Helvetica" w:cs="Times New Roman"/>
          <w:sz w:val="22"/>
          <w:szCs w:val="22"/>
          <w:lang w:eastAsia="en-GB"/>
        </w:rPr>
        <w:t xml:space="preserve">the </w:t>
      </w:r>
      <w:r w:rsidRPr="00B44120">
        <w:rPr>
          <w:rFonts w:ascii="Helvetica" w:eastAsia="Times New Roman" w:hAnsi="Helvetica" w:cs="Times New Roman"/>
          <w:sz w:val="22"/>
          <w:szCs w:val="22"/>
          <w:lang w:eastAsia="en-GB"/>
        </w:rPr>
        <w:t xml:space="preserve">sensitivity </w:t>
      </w:r>
      <w:r w:rsidR="00251BF1">
        <w:rPr>
          <w:rFonts w:ascii="Helvetica" w:eastAsia="Times New Roman" w:hAnsi="Helvetica" w:cs="Times New Roman"/>
          <w:sz w:val="22"/>
          <w:szCs w:val="22"/>
          <w:lang w:eastAsia="en-GB"/>
        </w:rPr>
        <w:t>analysis</w:t>
      </w:r>
      <w:r w:rsidR="00251BF1" w:rsidRPr="00B44120">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 xml:space="preserve">below </w:t>
      </w:r>
      <w:r w:rsidR="0022044B">
        <w:rPr>
          <w:rFonts w:ascii="Helvetica" w:eastAsia="Times New Roman" w:hAnsi="Helvetica" w:cs="Times New Roman"/>
          <w:sz w:val="22"/>
          <w:szCs w:val="22"/>
          <w:lang w:eastAsia="en-GB"/>
        </w:rPr>
        <w:t>(Section 3.5</w:t>
      </w:r>
      <w:r w:rsidR="00EC0A1C">
        <w:rPr>
          <w:rFonts w:ascii="Helvetica" w:eastAsia="Times New Roman" w:hAnsi="Helvetica" w:cs="Times New Roman"/>
          <w:sz w:val="22"/>
          <w:szCs w:val="22"/>
          <w:lang w:eastAsia="en-GB"/>
        </w:rPr>
        <w:t>)</w:t>
      </w:r>
      <w:r w:rsidRPr="00B44120">
        <w:rPr>
          <w:rFonts w:ascii="Helvetica" w:eastAsia="Times New Roman" w:hAnsi="Helvetica" w:cs="Times New Roman"/>
          <w:sz w:val="22"/>
          <w:szCs w:val="22"/>
          <w:lang w:eastAsia="en-GB"/>
        </w:rPr>
        <w:t xml:space="preserve">. </w:t>
      </w:r>
      <w:r w:rsidR="004800D5">
        <w:rPr>
          <w:rFonts w:ascii="Helvetica" w:eastAsia="Times New Roman" w:hAnsi="Helvetica" w:cs="Times New Roman"/>
          <w:sz w:val="22"/>
          <w:szCs w:val="22"/>
          <w:lang w:eastAsia="en-GB"/>
        </w:rPr>
        <w:t>In the absence of</w:t>
      </w:r>
      <w:r w:rsidRPr="00B44120">
        <w:rPr>
          <w:rFonts w:ascii="Helvetica" w:eastAsia="Times New Roman" w:hAnsi="Helvetica" w:cs="Times New Roman"/>
          <w:sz w:val="22"/>
          <w:szCs w:val="22"/>
          <w:lang w:eastAsia="en-GB"/>
        </w:rPr>
        <w:t xml:space="preserve"> GFRP chemical recycling energy data in the literature</w:t>
      </w:r>
      <w:r w:rsidR="004800D5">
        <w:rPr>
          <w:rFonts w:ascii="Helvetica" w:eastAsia="Times New Roman" w:hAnsi="Helvetica" w:cs="Times New Roman"/>
          <w:sz w:val="22"/>
          <w:szCs w:val="22"/>
          <w:lang w:eastAsia="en-GB"/>
        </w:rPr>
        <w:t>,</w:t>
      </w:r>
      <w:r w:rsidRPr="00B44120">
        <w:rPr>
          <w:rFonts w:ascii="Helvetica" w:eastAsia="Times New Roman" w:hAnsi="Helvetica" w:cs="Times New Roman"/>
          <w:sz w:val="22"/>
          <w:szCs w:val="22"/>
          <w:lang w:eastAsia="en-GB"/>
        </w:rPr>
        <w:t xml:space="preserve"> we assume the energy consumption of chemical recycling to be the same for CFRP and GFRP. </w:t>
      </w:r>
    </w:p>
    <w:p w14:paraId="4F57BBA6" w14:textId="25C3CB53" w:rsidR="00DA50DC"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The energy demand for optimally configured HVF</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 xml:space="preserve">to recycle composite waste is reported as 16.2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{"citationItems":[{"id":"ITEM-1","itemData":{"author":[{"dropping-particle":"","family":"Weh","given":"Alexander","non-dropping-particle":"","parse-names":false,"suffix":""}],"id":"ITEM-1","issued":{"date-parts":[["2012"]]},"note":"CFRP Cost + HVF energy consumption","number-of-pages":"1-7","publisher-place":"SELFRAG AG","title":"Final Report Summary – SELFRAG CFRP (High Voltage Pulse Fragmentation Technology to Recycle Fibre-Reinforced Composites)","type":"report"},"uris":["http://www.mendeley.com/documents/?uuid=e09baaf2-7ffd-4a9a-9840-34a0d9ae1a70"]}],"mendeley":{"formattedCitation":"(Weh, 2012a)","plainTextFormattedCitation":"(Weh, 2012a)","previouslyFormattedCitation":"(Weh, 2012a)"},"properties":{"noteIndex":0},"schema":"https://github.com/citation-style-language/schema/raw/master/csl-citation.json"}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(Weh, 2012a)</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xml:space="preserve">. This number may vary over a wide range for different processing configurations which include the machine capacity, the number of pulses, and the voltage of pulses. </w:t>
      </w:r>
      <w:r w:rsidR="00F0102A">
        <w:rPr>
          <w:rFonts w:ascii="Helvetica" w:eastAsia="Times New Roman" w:hAnsi="Helvetica" w:cs="Times New Roman"/>
          <w:sz w:val="22"/>
          <w:szCs w:val="22"/>
          <w:lang w:eastAsia="en-GB"/>
        </w:rPr>
        <w:t>T</w:t>
      </w:r>
      <w:r w:rsidRPr="00B44120">
        <w:rPr>
          <w:rFonts w:ascii="Helvetica" w:eastAsia="Times New Roman" w:hAnsi="Helvetica" w:cs="Times New Roman"/>
          <w:sz w:val="22"/>
          <w:szCs w:val="22"/>
          <w:lang w:eastAsia="en-GB"/>
        </w:rPr>
        <w:t xml:space="preserve">he </w:t>
      </w:r>
      <w:r w:rsidR="00F0102A">
        <w:rPr>
          <w:rFonts w:ascii="Helvetica" w:eastAsia="Times New Roman" w:hAnsi="Helvetica" w:cs="Times New Roman"/>
          <w:sz w:val="22"/>
          <w:szCs w:val="22"/>
          <w:lang w:eastAsia="en-GB"/>
        </w:rPr>
        <w:t xml:space="preserve">highest experimentally derived </w:t>
      </w:r>
      <w:r w:rsidRPr="00B44120">
        <w:rPr>
          <w:rFonts w:ascii="Helvetica" w:eastAsia="Times New Roman" w:hAnsi="Helvetica" w:cs="Times New Roman"/>
          <w:sz w:val="22"/>
          <w:szCs w:val="22"/>
          <w:lang w:eastAsia="en-GB"/>
        </w:rPr>
        <w:t xml:space="preserve">energy demand is </w:t>
      </w:r>
      <w:r w:rsidR="00F0102A">
        <w:rPr>
          <w:rFonts w:ascii="Helvetica" w:eastAsia="Times New Roman" w:hAnsi="Helvetica" w:cs="Times New Roman"/>
          <w:sz w:val="22"/>
          <w:szCs w:val="22"/>
          <w:lang w:eastAsia="en-GB"/>
        </w:rPr>
        <w:t xml:space="preserve">reported as </w:t>
      </w:r>
      <w:r w:rsidRPr="00B44120">
        <w:rPr>
          <w:rFonts w:ascii="Helvetica" w:eastAsia="Times New Roman" w:hAnsi="Helvetica" w:cs="Times New Roman"/>
          <w:sz w:val="22"/>
          <w:szCs w:val="22"/>
          <w:lang w:eastAsia="en-GB"/>
        </w:rPr>
        <w:t xml:space="preserve">43.2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{"citationItems":[{"id":"ITEM-1","itemData":{"author":[{"dropping-particle":"","family":"Weh","given":"Alexander","non-dropping-particle":"","parse-names":false,"suffix":""}],"id":"ITEM-1","issued":{"date-parts":[["2012"]]},"note":"CFRP Cost + HVF energy consumption","number-of-pages":"1-7","publisher-place":"SELFRAG AG","title":"Final Report Summary – SELFRAG CFRP (High Voltage Pulse Fragmentation Technology to Recycle Fibre-Reinforced Composites)","type":"report"},"uris":["http://www.mendeley.com/documents/?uuid=e09baaf2-7ffd-4a9a-9840-34a0d9ae1a70"]}],"mendeley":{"formattedCitation":"(Weh, 2012a)","plainTextFormattedCitation":"(Weh, 2012a)","previouslyFormattedCitation":"(Weh, 2012a)"},"properties":{"noteIndex":0},"schema":"https://github.com/citation-style-language/schema/raw/master/csl-citation.json"}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(Weh, 2012a)</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Other research has found that when the composite waste is processed at 500 pulses, the resin residue is 40% and the energy consumption is 17.1 MJ/kg. If the pulses increase to 2000 the resin residue will reduce</w:t>
      </w:r>
      <w:r w:rsidR="009406B5">
        <w:rPr>
          <w:rFonts w:ascii="Helvetica" w:eastAsia="Times New Roman" w:hAnsi="Helvetica" w:cs="Times New Roman"/>
          <w:sz w:val="22"/>
          <w:szCs w:val="22"/>
          <w:lang w:eastAsia="en-GB"/>
        </w:rPr>
        <w:t>,</w:t>
      </w:r>
      <w:r w:rsidRPr="00B44120">
        <w:rPr>
          <w:rFonts w:ascii="Helvetica" w:eastAsia="Times New Roman" w:hAnsi="Helvetica" w:cs="Times New Roman"/>
          <w:sz w:val="22"/>
          <w:szCs w:val="22"/>
          <w:lang w:eastAsia="en-GB"/>
        </w:rPr>
        <w:t xml:space="preserve"> but not significantly, while the energy consumption rises to 60 MJ/kg </w:t>
      </w:r>
      <w:r w:rsidR="00107EB7" w:rsidRPr="00B44120">
        <w:rPr>
          <w:rFonts w:ascii="Helvetica" w:eastAsia="Times New Roman" w:hAnsi="Helvetica" w:cs="Times New Roman"/>
          <w:sz w:val="22"/>
          <w:szCs w:val="22"/>
          <w:lang w:eastAsia="en-GB"/>
        </w:rPr>
        <w:fldChar w:fldCharType="begin" w:fldLock="1"/>
      </w:r>
      <w:r w:rsidR="00A17B85">
        <w:rPr>
          <w:rFonts w:ascii="Helvetica" w:eastAsia="Times New Roman" w:hAnsi="Helvetica" w:cs="Times New Roman"/>
          <w:sz w:val="22"/>
          <w:szCs w:val="22"/>
          <w:lang w:eastAsia="en-GB"/>
        </w:rPr>
        <w:instrText>ADDIN CSL_CITATION {"citationItems":[{"id":"ITEM-1","itemData":{"DOI":"10.1016/j.cirp.2016.04.107","ISSN":"17260604","abstract":"Global increase of composite waste urgently requires innovative recycling technology. The three dimensional cross-linked structure makes melting and remoulding of thermoset composite impossible. In this study, high voltage fragmentation, originally conceived for fracturing rocks was investigated as a potential process for composite recycling. It was then benchmarked against its competitor, mechanical recycling. The investigation covered effectiveness in separating composite phases, energy demand and recyclate quality. The work is a new contribution to the performance evaluation of key technologies for rapid recycling glass fibre thermoset composites, a major challenge for manufacturing and end-of-life product waste.","author":[{"dropping-particle":"","family":"Shuaib","given":"Norshah Aizat","non-dropping-particle":"","parse-names":false,"suffix":""},{"dropping-particle":"","family":"Mativenga","given":"Paul Tarisai","non-dropping-particle":"","parse-names":false,"suffix":""},{"dropping-particle":"","family":"Howarth","given":"Jack","non-dropping-particle":"","parse-names":false,"suffix":""},{"dropping-particle":"","family":"Pestalozzi","given":"Fadri","non-dropping-particle":"","parse-names":false,"suffix":""},{"dropping-particle":"","family":"Woidasky","given":"Jorg","non-dropping-particle":"","parse-names":false,"suffix":""}],"container-title":"CIRP Annals - Manufacturing Technology","id":"ITEM-1","issued":{"date-parts":[["2016"]]},"page":"45-48","title":"High voltage fragmentation and mechanical recycling of glass fibre thermoset composite","type":"article-newspaper","volume":"65"},"uris":["http://www.mendeley.com/documents/?uuid=bde38161-0175-4a65-93db-fe5d76e05ae6"]}],"mendeley":{"formattedCitation":"(Shuaib et al., 2016)","plainTextFormattedCitation":"(Shuaib et al., 2016)","previouslyFormattedCitation":"(Shuaib et al., 2016)"},"properties":{"noteIndex":0},"schema":"https://github.com/citation-style-language/schema/raw/master/csl-citation.json"}</w:instrText>
      </w:r>
      <w:r w:rsidR="00107EB7" w:rsidRPr="00B44120">
        <w:rPr>
          <w:rFonts w:ascii="Helvetica" w:eastAsia="Times New Roman" w:hAnsi="Helvetica" w:cs="Times New Roman"/>
          <w:sz w:val="22"/>
          <w:szCs w:val="22"/>
          <w:lang w:eastAsia="en-GB"/>
        </w:rPr>
        <w:fldChar w:fldCharType="separate"/>
      </w:r>
      <w:r w:rsidR="00B27DC5" w:rsidRPr="00B27DC5">
        <w:rPr>
          <w:rFonts w:ascii="Helvetica" w:eastAsia="Times New Roman" w:hAnsi="Helvetica" w:cs="Times New Roman"/>
          <w:noProof/>
          <w:sz w:val="22"/>
          <w:szCs w:val="22"/>
          <w:lang w:eastAsia="en-GB"/>
        </w:rPr>
        <w:t>(Shuaib et al., 2016)</w:t>
      </w:r>
      <w:r w:rsidR="00107EB7" w:rsidRPr="00B44120">
        <w:rPr>
          <w:rFonts w:ascii="Helvetica" w:eastAsia="Times New Roman" w:hAnsi="Helvetica" w:cs="Times New Roman"/>
          <w:sz w:val="22"/>
          <w:szCs w:val="22"/>
          <w:lang w:eastAsia="en-GB"/>
        </w:rPr>
        <w:fldChar w:fldCharType="end"/>
      </w:r>
      <w:r w:rsidRPr="00B44120">
        <w:rPr>
          <w:rFonts w:ascii="Helvetica" w:eastAsia="Times New Roman" w:hAnsi="Helvetica" w:cs="Times New Roman"/>
          <w:sz w:val="22"/>
          <w:szCs w:val="22"/>
          <w:lang w:eastAsia="en-GB"/>
        </w:rPr>
        <w:t>. We adopt 16.2 MJ/kg</w:t>
      </w:r>
      <w:r w:rsidR="00DA50DC">
        <w:rPr>
          <w:rFonts w:ascii="Helvetica" w:eastAsia="Times New Roman" w:hAnsi="Helvetica" w:cs="Times New Roman"/>
          <w:sz w:val="22"/>
          <w:szCs w:val="22"/>
          <w:lang w:eastAsia="en-GB"/>
        </w:rPr>
        <w:t xml:space="preserve"> for</w:t>
      </w:r>
      <w:r w:rsidR="00001856">
        <w:rPr>
          <w:rFonts w:ascii="Helvetica" w:eastAsia="Times New Roman" w:hAnsi="Helvetica" w:cs="Times New Roman"/>
          <w:sz w:val="22"/>
          <w:szCs w:val="22"/>
          <w:lang w:eastAsia="en-GB"/>
        </w:rPr>
        <w:t xml:space="preserve"> the base case. </w:t>
      </w:r>
    </w:p>
    <w:p w14:paraId="28425762" w14:textId="27DC8728" w:rsidR="00E30C8D"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The unit processing energy of all </w:t>
      </w:r>
      <w:proofErr w:type="spellStart"/>
      <w:r w:rsidRPr="00B44120">
        <w:rPr>
          <w:rFonts w:ascii="Helvetica" w:eastAsia="Times New Roman" w:hAnsi="Helvetica" w:cs="Times New Roman"/>
          <w:sz w:val="22"/>
          <w:szCs w:val="22"/>
          <w:lang w:eastAsia="en-GB"/>
        </w:rPr>
        <w:t>EoL</w:t>
      </w:r>
      <w:proofErr w:type="spellEnd"/>
      <w:r w:rsidRPr="00B44120">
        <w:rPr>
          <w:rFonts w:ascii="Helvetica" w:eastAsia="Times New Roman" w:hAnsi="Helvetica" w:cs="Times New Roman"/>
          <w:sz w:val="22"/>
          <w:szCs w:val="22"/>
          <w:lang w:eastAsia="en-GB"/>
        </w:rPr>
        <w:t xml:space="preserve"> opt</w:t>
      </w:r>
      <w:r w:rsidR="00E30C8D">
        <w:rPr>
          <w:rFonts w:ascii="Helvetica" w:eastAsia="Times New Roman" w:hAnsi="Helvetica" w:cs="Times New Roman"/>
          <w:sz w:val="22"/>
          <w:szCs w:val="22"/>
          <w:lang w:eastAsia="en-GB"/>
        </w:rPr>
        <w:t>ions are summarised in Table 4.</w:t>
      </w:r>
    </w:p>
    <w:tbl>
      <w:tblPr>
        <w:tblStyle w:val="Thesis"/>
        <w:tblW w:w="8985" w:type="dxa"/>
        <w:tblLook w:val="04A0" w:firstRow="1" w:lastRow="0" w:firstColumn="1" w:lastColumn="0" w:noHBand="0" w:noVBand="1"/>
      </w:tblPr>
      <w:tblGrid>
        <w:gridCol w:w="2863"/>
        <w:gridCol w:w="1195"/>
        <w:gridCol w:w="1195"/>
        <w:gridCol w:w="1196"/>
        <w:gridCol w:w="2536"/>
      </w:tblGrid>
      <w:tr w:rsidR="00B44120" w:rsidRPr="002A6DBD" w14:paraId="4569CBF7" w14:textId="77777777">
        <w:trPr>
          <w:cnfStyle w:val="100000000000" w:firstRow="1" w:lastRow="0" w:firstColumn="0" w:lastColumn="0" w:oddVBand="0" w:evenVBand="0" w:oddHBand="0" w:evenHBand="0" w:firstRowFirstColumn="0" w:firstRowLastColumn="0" w:lastRowFirstColumn="0" w:lastRowLastColumn="0"/>
          <w:trHeight w:val="317"/>
        </w:trPr>
        <w:tc>
          <w:tcPr>
            <w:tcW w:w="2863" w:type="dxa"/>
            <w:noWrap/>
          </w:tcPr>
          <w:p w14:paraId="141F00ED" w14:textId="77777777" w:rsidR="00B44120" w:rsidRPr="000F7389" w:rsidRDefault="00B44120" w:rsidP="009055C5">
            <w:pPr>
              <w:tabs>
                <w:tab w:val="left" w:pos="851"/>
              </w:tabs>
              <w:spacing w:before="120"/>
              <w:rPr>
                <w:rFonts w:eastAsia="Times New Roman"/>
                <w:b/>
              </w:rPr>
            </w:pPr>
            <w:r w:rsidRPr="000F7389">
              <w:rPr>
                <w:rFonts w:eastAsia="Times New Roman"/>
                <w:b/>
              </w:rPr>
              <w:t>MJ/kg waste</w:t>
            </w:r>
          </w:p>
        </w:tc>
        <w:tc>
          <w:tcPr>
            <w:tcW w:w="1195" w:type="dxa"/>
          </w:tcPr>
          <w:p w14:paraId="04735207" w14:textId="77777777" w:rsidR="00B44120" w:rsidRPr="000F7389" w:rsidRDefault="00B44120" w:rsidP="009055C5">
            <w:pPr>
              <w:tabs>
                <w:tab w:val="left" w:pos="851"/>
              </w:tabs>
              <w:spacing w:before="120"/>
              <w:rPr>
                <w:rFonts w:eastAsia="Times New Roman"/>
                <w:b/>
              </w:rPr>
            </w:pPr>
            <w:r w:rsidRPr="000F7389">
              <w:rPr>
                <w:rFonts w:eastAsia="Times New Roman"/>
                <w:b/>
              </w:rPr>
              <w:t>Full GF</w:t>
            </w:r>
          </w:p>
        </w:tc>
        <w:tc>
          <w:tcPr>
            <w:tcW w:w="1195" w:type="dxa"/>
          </w:tcPr>
          <w:p w14:paraId="571E866C" w14:textId="77777777" w:rsidR="00B44120" w:rsidRPr="000F7389" w:rsidRDefault="00B44120" w:rsidP="009055C5">
            <w:pPr>
              <w:tabs>
                <w:tab w:val="left" w:pos="851"/>
              </w:tabs>
              <w:spacing w:before="120"/>
              <w:rPr>
                <w:rFonts w:eastAsia="Times New Roman"/>
                <w:b/>
              </w:rPr>
            </w:pPr>
            <w:r w:rsidRPr="000F7389">
              <w:rPr>
                <w:rFonts w:eastAsia="Times New Roman"/>
                <w:b/>
              </w:rPr>
              <w:t>Hybrid</w:t>
            </w:r>
          </w:p>
        </w:tc>
        <w:tc>
          <w:tcPr>
            <w:tcW w:w="1196" w:type="dxa"/>
          </w:tcPr>
          <w:p w14:paraId="4917B9B2" w14:textId="77777777" w:rsidR="00B44120" w:rsidRPr="000F7389" w:rsidRDefault="00B44120" w:rsidP="009055C5">
            <w:pPr>
              <w:tabs>
                <w:tab w:val="left" w:pos="851"/>
              </w:tabs>
              <w:spacing w:before="120"/>
              <w:rPr>
                <w:rFonts w:eastAsia="Times New Roman"/>
                <w:b/>
              </w:rPr>
            </w:pPr>
            <w:r w:rsidRPr="000F7389">
              <w:rPr>
                <w:rFonts w:eastAsia="Times New Roman"/>
                <w:b/>
              </w:rPr>
              <w:t>Full CF</w:t>
            </w:r>
          </w:p>
        </w:tc>
        <w:tc>
          <w:tcPr>
            <w:tcW w:w="2536" w:type="dxa"/>
          </w:tcPr>
          <w:p w14:paraId="2E3BC10D" w14:textId="77777777" w:rsidR="00B44120" w:rsidRPr="000F7389" w:rsidRDefault="00B44120" w:rsidP="001B36F6">
            <w:pPr>
              <w:tabs>
                <w:tab w:val="left" w:pos="851"/>
              </w:tabs>
              <w:spacing w:before="120"/>
              <w:rPr>
                <w:rFonts w:eastAsia="Times New Roman"/>
                <w:b/>
              </w:rPr>
            </w:pPr>
            <w:r w:rsidRPr="000F7389">
              <w:rPr>
                <w:rFonts w:eastAsia="Times New Roman"/>
                <w:b/>
              </w:rPr>
              <w:t>Source</w:t>
            </w:r>
          </w:p>
        </w:tc>
      </w:tr>
      <w:tr w:rsidR="00986457" w:rsidRPr="002A6DBD" w14:paraId="1E01C431" w14:textId="77777777">
        <w:trPr>
          <w:trHeight w:val="317"/>
        </w:trPr>
        <w:tc>
          <w:tcPr>
            <w:tcW w:w="2863" w:type="dxa"/>
            <w:noWrap/>
          </w:tcPr>
          <w:p w14:paraId="06C29E12" w14:textId="77777777" w:rsidR="00986457" w:rsidRPr="002A6DBD" w:rsidRDefault="00986457" w:rsidP="009055C5">
            <w:pPr>
              <w:tabs>
                <w:tab w:val="left" w:pos="851"/>
              </w:tabs>
              <w:spacing w:before="120"/>
              <w:rPr>
                <w:rFonts w:eastAsia="Times New Roman"/>
              </w:rPr>
            </w:pPr>
            <w:r w:rsidRPr="002A6DBD">
              <w:rPr>
                <w:rFonts w:eastAsia="Times New Roman"/>
              </w:rPr>
              <w:t>Landfill</w:t>
            </w:r>
          </w:p>
        </w:tc>
        <w:tc>
          <w:tcPr>
            <w:tcW w:w="1195" w:type="dxa"/>
          </w:tcPr>
          <w:p w14:paraId="7336DC1F" w14:textId="77777777" w:rsidR="00986457" w:rsidRPr="002A6DBD" w:rsidRDefault="00986457" w:rsidP="009055C5">
            <w:pPr>
              <w:tabs>
                <w:tab w:val="left" w:pos="851"/>
              </w:tabs>
              <w:spacing w:before="120"/>
              <w:rPr>
                <w:rFonts w:eastAsia="Times New Roman"/>
              </w:rPr>
            </w:pPr>
            <w:r w:rsidRPr="00986457">
              <w:rPr>
                <w:rFonts w:eastAsia="Times New Roman"/>
              </w:rPr>
              <w:t>0.26</w:t>
            </w:r>
          </w:p>
        </w:tc>
        <w:tc>
          <w:tcPr>
            <w:tcW w:w="1195" w:type="dxa"/>
          </w:tcPr>
          <w:p w14:paraId="1AA78B53" w14:textId="77777777" w:rsidR="00986457" w:rsidRPr="002A6DBD" w:rsidRDefault="00986457" w:rsidP="009055C5">
            <w:pPr>
              <w:tabs>
                <w:tab w:val="left" w:pos="851"/>
              </w:tabs>
              <w:spacing w:before="120"/>
              <w:rPr>
                <w:rFonts w:eastAsia="Times New Roman"/>
              </w:rPr>
            </w:pPr>
            <w:r w:rsidRPr="00986457">
              <w:rPr>
                <w:rFonts w:eastAsia="Times New Roman"/>
              </w:rPr>
              <w:t>0.26</w:t>
            </w:r>
          </w:p>
        </w:tc>
        <w:tc>
          <w:tcPr>
            <w:tcW w:w="1196" w:type="dxa"/>
          </w:tcPr>
          <w:p w14:paraId="28989E95" w14:textId="77777777" w:rsidR="00986457" w:rsidRPr="002A6DBD" w:rsidRDefault="00986457" w:rsidP="009055C5">
            <w:pPr>
              <w:tabs>
                <w:tab w:val="left" w:pos="851"/>
              </w:tabs>
              <w:spacing w:before="120"/>
              <w:rPr>
                <w:rFonts w:eastAsia="Times New Roman"/>
              </w:rPr>
            </w:pPr>
            <w:r w:rsidRPr="00986457">
              <w:rPr>
                <w:rFonts w:eastAsia="Times New Roman"/>
              </w:rPr>
              <w:t>0.26</w:t>
            </w:r>
          </w:p>
        </w:tc>
        <w:tc>
          <w:tcPr>
            <w:tcW w:w="2536" w:type="dxa"/>
          </w:tcPr>
          <w:p w14:paraId="02089326" w14:textId="77777777" w:rsidR="00986457" w:rsidRPr="002A6DBD" w:rsidRDefault="00107EB7" w:rsidP="007D5ACA">
            <w:pPr>
              <w:tabs>
                <w:tab w:val="left" w:pos="851"/>
              </w:tabs>
              <w:spacing w:before="120"/>
              <w:rPr>
                <w:rFonts w:eastAsia="Times New Roman"/>
                <w:lang w:eastAsia="zh-CN"/>
              </w:rPr>
            </w:pPr>
            <w:r w:rsidRPr="002A6DBD">
              <w:rPr>
                <w:rFonts w:eastAsia="Times New Roman"/>
              </w:rPr>
              <w:fldChar w:fldCharType="begin" w:fldLock="1"/>
            </w:r>
            <w:r w:rsidR="00A17B85">
              <w:rPr>
                <w:rFonts w:eastAsia="Times New Roman"/>
              </w:rPr>
              <w:instrText>ADDIN CSL_CITATION {"citationItems":[{"id":"ITEM-1","itemData":{"DOI":"10.1016/j.jclepro.2016.03.139","ISBN":"0959-6526","ISSN":"09596526","abstract":"Recovering value from carbon fibre reinforced polymers waste can help to address the high cost and environmental burden of producing carbon fibres, but there is limited understanding of the cost and environmental implications of potential recycling technologies. The objective of this study is to assess the environmental and financial viability of mechanical recycling of carbon fibre composite waste. Life cycle costing and environmental assessment models are developed to quantify the financial and environmental impacts of alternative composite waste treatment routes, comparing landfilling, incineration with energy recovery, and mechanical recycling in a UK context. Current Landfill Tax results in incineration becoming the lowest cost composite waste treatment option; however, incineration is associated with high greenhouse gas emissions as carbon released from composite waste during combustion exceeds CO2 emissions savings from displacing UK electricity and/or heat generation, resulting in a net greenhouse gas emissions source. Mechanical recycling and fibre reuse to displace virgin glass fibre can provide the greatest greenhouse gas emissions reductions of the treatment routes considered (???378??kg??CO2??eq./t composite waste), provided residual recyclates are landfilled rather than incinerated. However, this pathway is found to be unfeasible due to its high cost, which exceeds ??2500/t composite waste ($3750/t composite waste). The financial performance of mechanical recycling is impaired by the high costs of dismantling and recycling processes; low carbon fibre recovery rate; and low value of likely markets. To be viable, carbon fibre recycling processes must achieve near-100% fibre recover rat</w:instrText>
            </w:r>
            <w:r w:rsidR="00A17B85">
              <w:rPr>
                <w:rFonts w:eastAsia="Times New Roman"/>
                <w:lang w:eastAsia="zh-CN"/>
              </w:rPr>
              <w:instrText>es and minimise the degradation of fibre mechanical properties to enable higher value applications (e.g., virgin carbon fibre displacement). On-going development of carbon fibre recovery technologies and composite manufacturing techniques using recycled carbon fibres leading to improved material properties is therefore critical to ensuring financial viability and environmental benefit of carbon fibre reinforced polymer recycling.","author":[{"dropping-particle":"","family":"Li","given":"Xiang","non-dropping-particle":"","parse-names":false,"suffix":""},{"dropping-particle":"","family":"Bai","given":"Ruibin","non-dropping-particle":"","parse-names":false,"suffix":""},{"dropping-particle":"","family":"McKechnie","given":"Jon","non-dropping-particle":"","parse-names":false,"suffix":""}],"container-title":"Journal of Cleaner Production","id":"ITEM-1","issued":{"date-parts":[["2016"]]},"page":"451-460","publisher":"Elsevier Ltd","title":"Environmental and financial performance of mechanical recycling of carbon fibre reinforced polymers and comparison with conventional disposal routes","type":"article-journal","volume":"127"},"uris":["http://www.mendeley.com/documents/?uuid=1d10868d-7544-44c6-9d72-8292b0cf9417"]}],"mendeley":{"formattedCitation":"(Li et al., 2016)","plainTextFormattedCitation":"(Li et al., 2016)","previouslyFormattedCitation":"(Li et al., 2016)"},"properties":{"noteIndex":0},"schema":"https://github.com/citation-style-language/schema/raw/master/csl-citation.json"}</w:instrText>
            </w:r>
            <w:r w:rsidRPr="002A6DBD">
              <w:rPr>
                <w:rFonts w:eastAsia="Times New Roman"/>
              </w:rPr>
              <w:fldChar w:fldCharType="separate"/>
            </w:r>
            <w:r w:rsidR="00B27DC5" w:rsidRPr="00B27DC5">
              <w:rPr>
                <w:rFonts w:eastAsia="Times New Roman"/>
                <w:noProof/>
                <w:lang w:eastAsia="zh-CN"/>
              </w:rPr>
              <w:t>(Li et al., 2016)</w:t>
            </w:r>
            <w:r w:rsidRPr="002A6DBD">
              <w:rPr>
                <w:rFonts w:eastAsia="Times New Roman"/>
              </w:rPr>
              <w:fldChar w:fldCharType="end"/>
            </w:r>
          </w:p>
        </w:tc>
      </w:tr>
      <w:tr w:rsidR="00986457" w:rsidRPr="002A6DBD" w14:paraId="1783B0E1" w14:textId="77777777">
        <w:trPr>
          <w:trHeight w:val="317"/>
        </w:trPr>
        <w:tc>
          <w:tcPr>
            <w:tcW w:w="2863" w:type="dxa"/>
            <w:noWrap/>
          </w:tcPr>
          <w:p w14:paraId="44D045CC" w14:textId="77777777" w:rsidR="00986457" w:rsidRPr="002A6DBD" w:rsidRDefault="00986457" w:rsidP="009055C5">
            <w:pPr>
              <w:tabs>
                <w:tab w:val="left" w:pos="851"/>
              </w:tabs>
              <w:spacing w:before="120"/>
              <w:rPr>
                <w:rFonts w:eastAsia="Times New Roman"/>
                <w:lang w:eastAsia="zh-CN"/>
              </w:rPr>
            </w:pPr>
            <w:r w:rsidRPr="002A6DBD">
              <w:rPr>
                <w:rFonts w:eastAsia="Times New Roman"/>
                <w:lang w:eastAsia="zh-CN"/>
              </w:rPr>
              <w:t>Incineration</w:t>
            </w:r>
          </w:p>
        </w:tc>
        <w:tc>
          <w:tcPr>
            <w:tcW w:w="1195" w:type="dxa"/>
          </w:tcPr>
          <w:p w14:paraId="05128438" w14:textId="77777777" w:rsidR="00986457" w:rsidRPr="002A6DBD" w:rsidRDefault="00986457" w:rsidP="009055C5">
            <w:pPr>
              <w:tabs>
                <w:tab w:val="left" w:pos="851"/>
              </w:tabs>
              <w:spacing w:before="120"/>
              <w:rPr>
                <w:rFonts w:eastAsia="Times New Roman"/>
                <w:lang w:eastAsia="zh-CN"/>
              </w:rPr>
            </w:pPr>
            <w:r>
              <w:rPr>
                <w:rFonts w:eastAsia="Times New Roman"/>
                <w:lang w:eastAsia="zh-CN"/>
              </w:rPr>
              <w:t>-4.16</w:t>
            </w:r>
          </w:p>
        </w:tc>
        <w:tc>
          <w:tcPr>
            <w:tcW w:w="1195" w:type="dxa"/>
          </w:tcPr>
          <w:p w14:paraId="32671B68" w14:textId="77777777" w:rsidR="00986457" w:rsidRPr="002A6DBD" w:rsidRDefault="00986457" w:rsidP="009055C5">
            <w:pPr>
              <w:tabs>
                <w:tab w:val="left" w:pos="851"/>
              </w:tabs>
              <w:spacing w:before="120"/>
              <w:rPr>
                <w:rFonts w:eastAsia="Times New Roman"/>
                <w:lang w:eastAsia="zh-CN"/>
              </w:rPr>
            </w:pPr>
            <w:r>
              <w:rPr>
                <w:rFonts w:eastAsia="Times New Roman"/>
                <w:lang w:eastAsia="zh-CN"/>
              </w:rPr>
              <w:t>-4.16</w:t>
            </w:r>
          </w:p>
        </w:tc>
        <w:tc>
          <w:tcPr>
            <w:tcW w:w="1196" w:type="dxa"/>
          </w:tcPr>
          <w:p w14:paraId="38932E10" w14:textId="77777777" w:rsidR="00986457" w:rsidRPr="002A6DBD" w:rsidRDefault="00986457" w:rsidP="009055C5">
            <w:pPr>
              <w:tabs>
                <w:tab w:val="left" w:pos="851"/>
              </w:tabs>
              <w:spacing w:before="120"/>
              <w:rPr>
                <w:rFonts w:eastAsia="Times New Roman"/>
                <w:lang w:eastAsia="zh-CN"/>
              </w:rPr>
            </w:pPr>
            <w:r>
              <w:rPr>
                <w:rFonts w:eastAsia="Times New Roman"/>
                <w:lang w:eastAsia="zh-CN"/>
              </w:rPr>
              <w:t>-4.16</w:t>
            </w:r>
          </w:p>
        </w:tc>
        <w:tc>
          <w:tcPr>
            <w:tcW w:w="2536" w:type="dxa"/>
          </w:tcPr>
          <w:p w14:paraId="015AE805" w14:textId="77777777" w:rsidR="00986457" w:rsidRPr="002A6DBD" w:rsidRDefault="00986457" w:rsidP="009055C5">
            <w:pPr>
              <w:tabs>
                <w:tab w:val="left" w:pos="851"/>
              </w:tabs>
              <w:spacing w:before="120"/>
              <w:rPr>
                <w:rFonts w:eastAsia="Times New Roman"/>
                <w:lang w:eastAsia="zh-CN"/>
              </w:rPr>
            </w:pPr>
            <w:r w:rsidRPr="002A6DBD">
              <w:rPr>
                <w:rFonts w:eastAsia="Times New Roman"/>
                <w:lang w:eastAsia="zh-CN"/>
              </w:rPr>
              <w:t>By author</w:t>
            </w:r>
          </w:p>
        </w:tc>
      </w:tr>
      <w:tr w:rsidR="00986457" w:rsidRPr="002A6DBD" w14:paraId="6E244542" w14:textId="77777777">
        <w:trPr>
          <w:trHeight w:val="317"/>
        </w:trPr>
        <w:tc>
          <w:tcPr>
            <w:tcW w:w="2863" w:type="dxa"/>
            <w:noWrap/>
          </w:tcPr>
          <w:p w14:paraId="32256FE6" w14:textId="77777777" w:rsidR="00986457" w:rsidRPr="002A6DBD" w:rsidRDefault="00986457" w:rsidP="009055C5">
            <w:pPr>
              <w:tabs>
                <w:tab w:val="left" w:pos="851"/>
              </w:tabs>
              <w:spacing w:before="120"/>
              <w:rPr>
                <w:rFonts w:eastAsia="Times New Roman"/>
                <w:lang w:eastAsia="zh-CN"/>
              </w:rPr>
            </w:pPr>
            <w:r w:rsidRPr="002A6DBD">
              <w:rPr>
                <w:rFonts w:eastAsia="Times New Roman"/>
                <w:lang w:eastAsia="zh-CN"/>
              </w:rPr>
              <w:t>Mechanical</w:t>
            </w:r>
          </w:p>
        </w:tc>
        <w:tc>
          <w:tcPr>
            <w:tcW w:w="1195" w:type="dxa"/>
          </w:tcPr>
          <w:p w14:paraId="61428675" w14:textId="77777777" w:rsidR="00986457" w:rsidRPr="002A6DBD" w:rsidRDefault="00986457" w:rsidP="009055C5">
            <w:pPr>
              <w:tabs>
                <w:tab w:val="left" w:pos="851"/>
              </w:tabs>
              <w:spacing w:before="120"/>
              <w:rPr>
                <w:rFonts w:eastAsia="Times New Roman"/>
                <w:lang w:eastAsia="zh-CN"/>
              </w:rPr>
            </w:pPr>
            <w:r>
              <w:rPr>
                <w:rFonts w:eastAsia="Times New Roman"/>
                <w:lang w:eastAsia="zh-CN"/>
              </w:rPr>
              <w:t>0.27</w:t>
            </w:r>
          </w:p>
        </w:tc>
        <w:tc>
          <w:tcPr>
            <w:tcW w:w="1195" w:type="dxa"/>
          </w:tcPr>
          <w:p w14:paraId="502D2C07" w14:textId="77777777" w:rsidR="00986457" w:rsidRPr="002A6DBD" w:rsidRDefault="00986457" w:rsidP="009055C5">
            <w:pPr>
              <w:tabs>
                <w:tab w:val="left" w:pos="851"/>
              </w:tabs>
              <w:spacing w:before="120"/>
              <w:rPr>
                <w:rFonts w:eastAsia="Times New Roman"/>
                <w:lang w:eastAsia="zh-CN"/>
              </w:rPr>
            </w:pPr>
            <w:r>
              <w:rPr>
                <w:rFonts w:eastAsia="Times New Roman"/>
                <w:lang w:eastAsia="zh-CN"/>
              </w:rPr>
              <w:t>0.27</w:t>
            </w:r>
          </w:p>
        </w:tc>
        <w:tc>
          <w:tcPr>
            <w:tcW w:w="1196" w:type="dxa"/>
          </w:tcPr>
          <w:p w14:paraId="6FFEF1E4" w14:textId="77777777" w:rsidR="00986457" w:rsidRPr="002A6DBD" w:rsidRDefault="00986457" w:rsidP="009055C5">
            <w:pPr>
              <w:tabs>
                <w:tab w:val="left" w:pos="851"/>
              </w:tabs>
              <w:spacing w:before="120"/>
              <w:rPr>
                <w:rFonts w:eastAsia="Times New Roman"/>
                <w:lang w:eastAsia="zh-CN"/>
              </w:rPr>
            </w:pPr>
            <w:r>
              <w:rPr>
                <w:rFonts w:eastAsia="Times New Roman"/>
                <w:lang w:eastAsia="zh-CN"/>
              </w:rPr>
              <w:t>0.27</w:t>
            </w:r>
          </w:p>
        </w:tc>
        <w:tc>
          <w:tcPr>
            <w:tcW w:w="2536" w:type="dxa"/>
          </w:tcPr>
          <w:p w14:paraId="2292A081" w14:textId="77777777" w:rsidR="00986457" w:rsidRPr="002A6DBD" w:rsidRDefault="00107EB7" w:rsidP="007D5ACA">
            <w:pPr>
              <w:tabs>
                <w:tab w:val="left" w:pos="851"/>
              </w:tabs>
              <w:spacing w:before="120"/>
              <w:rPr>
                <w:rFonts w:eastAsia="Times New Roman"/>
              </w:rPr>
            </w:pPr>
            <w:r w:rsidRPr="002A6DBD">
              <w:rPr>
                <w:rFonts w:eastAsia="Times New Roman"/>
              </w:rPr>
              <w:fldChar w:fldCharType="begin" w:fldLock="1"/>
            </w:r>
            <w:r w:rsidR="00A17B85">
              <w:rPr>
                <w:rFonts w:eastAsia="Times New Roman"/>
                <w:lang w:eastAsia="zh-CN"/>
              </w:rPr>
              <w:instrText>ADDIN CSL_CITATION {"citationItems":[{"id":"ITEM-1","itemData":{"DOI":"10.1016/j.jclepro.2014.06.023","ISSN":"09596526","abstract":"The increased usage of composites in industry coupled with European Union restrictions on landfill disposal has resulted in an urgent need to develop resource efficient recycl</w:instrText>
            </w:r>
            <w:r w:rsidR="00A17B85">
              <w:rPr>
                <w:rFonts w:eastAsia="Times New Roman"/>
              </w:rPr>
              <w:instrText>ing technologies. The purpose of this work was to model the electrical energy requirements of milling as a recycling option for carbon fibre composite. By separating the contributions to the total energy required of the machine tool, material cutting energy and material removal rate, the energy demand of carbon fibre composite recycling can be theoretically calculated for any milling process. The model was validated experimentally by comparing the theoretical energy demand to the measured energy demand of an industrial scale milling machine. It was found that at a processing (recycling) rate of 10 kg/hr, the specific energy was significantly less than the embodied energy of virgin carbon fibre (2.03 MJ/kg compared to approximately 200 MJ/kg). Although the form of the recyclate fibres (short, single filaments and bundles) was vastly different to their virgin equivalents (continuous tows), the energy difference highlights the potential environmental benefit of utilising recyclate fibres in place of virgin ones in short fibre composites where mechanical performance is less critical. The relationship between specific energy of recycling and processing rate was also calculated, which highlighted that further energy savings can be achieved at higher processing rates. This work is fundamentally important to provide new data sets for Life Cycle Assessment in order to assess the potential environmental benefits of utilising recyclate fibres.","author":[{"dropping-particle":"","family":"Howarth","given":"Jack","non-dropping-particle":"","parse-names":false,"suffix":""},{"dropping-particle":"","family":"Mareddy","given":"Sada S.R.","non-dropping-particle":"","parse-names":false,"suffix":""},{"dropping-particle":"","family":"Mativenga","given":"Paul T.","non-dropping-particle":"","parse-names":false,"suffix":""}],"container-title":"Journal of Cleaner Production","id":"ITEM-1","issued":{"date-parts":[["2014","10"]]},"page":"46-50","title":"Energy intensity and environmental analysis of mechanical recycling of carbon fibre composite","type":"article-journal","volume":"81"},"uris":["http://www.mendeley.com/documents/?uuid=e79bb95e-174d-4a9a-99e2-9f0ffd3762b7"]}],"mendeley":{"formattedCitation":"(Howarth et al., 2014)","plainTextFormattedCitation":"(Howarth et al., 2014)","previouslyFormattedCitation":"(Howarth et al., 2014)"},"properties":{"noteIndex":0},"schema":"https://github.com/citation-style-language/schema/raw/master/csl-citation.json"}</w:instrText>
            </w:r>
            <w:r w:rsidRPr="002A6DBD">
              <w:rPr>
                <w:rFonts w:eastAsia="Times New Roman"/>
              </w:rPr>
              <w:fldChar w:fldCharType="separate"/>
            </w:r>
            <w:r w:rsidR="00B27DC5" w:rsidRPr="00B27DC5">
              <w:rPr>
                <w:rFonts w:eastAsia="Times New Roman"/>
                <w:noProof/>
              </w:rPr>
              <w:t>(Howarth et al., 2014)</w:t>
            </w:r>
            <w:r w:rsidRPr="002A6DBD">
              <w:rPr>
                <w:rFonts w:eastAsia="Times New Roman"/>
              </w:rPr>
              <w:fldChar w:fldCharType="end"/>
            </w:r>
          </w:p>
        </w:tc>
      </w:tr>
      <w:tr w:rsidR="00986457" w:rsidRPr="002A6DBD" w14:paraId="0DC098EC" w14:textId="77777777">
        <w:trPr>
          <w:trHeight w:val="317"/>
        </w:trPr>
        <w:tc>
          <w:tcPr>
            <w:tcW w:w="2863" w:type="dxa"/>
            <w:noWrap/>
          </w:tcPr>
          <w:p w14:paraId="0081F15D" w14:textId="77777777" w:rsidR="00986457" w:rsidRPr="002A6DBD" w:rsidRDefault="00986457" w:rsidP="009055C5">
            <w:pPr>
              <w:tabs>
                <w:tab w:val="left" w:pos="851"/>
              </w:tabs>
              <w:spacing w:before="120"/>
              <w:rPr>
                <w:rFonts w:eastAsia="Times New Roman"/>
              </w:rPr>
            </w:pPr>
            <w:r w:rsidRPr="002A6DBD">
              <w:rPr>
                <w:rFonts w:eastAsia="Times New Roman"/>
              </w:rPr>
              <w:t>Fluidised-Bed Process</w:t>
            </w:r>
          </w:p>
        </w:tc>
        <w:tc>
          <w:tcPr>
            <w:tcW w:w="1195" w:type="dxa"/>
          </w:tcPr>
          <w:p w14:paraId="14151DFB" w14:textId="77777777" w:rsidR="00986457" w:rsidRPr="002A6DBD" w:rsidRDefault="00986457" w:rsidP="009055C5">
            <w:pPr>
              <w:tabs>
                <w:tab w:val="left" w:pos="851"/>
              </w:tabs>
              <w:spacing w:before="120"/>
              <w:rPr>
                <w:rFonts w:eastAsia="Times New Roman"/>
              </w:rPr>
            </w:pPr>
            <w:r>
              <w:rPr>
                <w:rFonts w:eastAsia="Times New Roman"/>
              </w:rPr>
              <w:t>22.22</w:t>
            </w:r>
          </w:p>
        </w:tc>
        <w:tc>
          <w:tcPr>
            <w:tcW w:w="1195" w:type="dxa"/>
          </w:tcPr>
          <w:p w14:paraId="092BEB92" w14:textId="77777777" w:rsidR="00986457" w:rsidRDefault="00986457" w:rsidP="009055C5">
            <w:pPr>
              <w:tabs>
                <w:tab w:val="left" w:pos="851"/>
              </w:tabs>
              <w:spacing w:before="120"/>
              <w:rPr>
                <w:rFonts w:eastAsia="Times New Roman"/>
              </w:rPr>
            </w:pPr>
            <w:r>
              <w:rPr>
                <w:rFonts w:eastAsia="Times New Roman"/>
              </w:rPr>
              <w:t>22.22 for GFRP waste</w:t>
            </w:r>
          </w:p>
          <w:p w14:paraId="74F906A8" w14:textId="77777777" w:rsidR="00986457" w:rsidRPr="002A6DBD" w:rsidRDefault="00986457" w:rsidP="009055C5">
            <w:pPr>
              <w:tabs>
                <w:tab w:val="left" w:pos="851"/>
              </w:tabs>
              <w:spacing w:before="120"/>
              <w:rPr>
                <w:rFonts w:eastAsia="Times New Roman"/>
              </w:rPr>
            </w:pPr>
            <w:r>
              <w:rPr>
                <w:rFonts w:eastAsia="Times New Roman"/>
              </w:rPr>
              <w:t>9.00 for CFRP waste</w:t>
            </w:r>
          </w:p>
        </w:tc>
        <w:tc>
          <w:tcPr>
            <w:tcW w:w="1196" w:type="dxa"/>
          </w:tcPr>
          <w:p w14:paraId="10814F96" w14:textId="77777777" w:rsidR="00986457" w:rsidRPr="002A6DBD" w:rsidRDefault="00986457" w:rsidP="009055C5">
            <w:pPr>
              <w:tabs>
                <w:tab w:val="left" w:pos="851"/>
              </w:tabs>
              <w:spacing w:before="120"/>
              <w:rPr>
                <w:rFonts w:eastAsia="Times New Roman"/>
              </w:rPr>
            </w:pPr>
            <w:r>
              <w:rPr>
                <w:rFonts w:eastAsia="Times New Roman"/>
              </w:rPr>
              <w:t>9.00</w:t>
            </w:r>
          </w:p>
        </w:tc>
        <w:tc>
          <w:tcPr>
            <w:tcW w:w="2536" w:type="dxa"/>
          </w:tcPr>
          <w:p w14:paraId="4BD6E29E" w14:textId="77777777" w:rsidR="00986457" w:rsidRPr="002A6DBD" w:rsidRDefault="00107EB7" w:rsidP="007D5ACA">
            <w:pPr>
              <w:tabs>
                <w:tab w:val="left" w:pos="851"/>
              </w:tabs>
              <w:spacing w:before="120"/>
              <w:rPr>
                <w:rFonts w:eastAsia="Times New Roman"/>
              </w:rPr>
            </w:pPr>
            <w:r w:rsidRPr="002A6DBD">
              <w:rPr>
                <w:rFonts w:eastAsia="Times New Roman"/>
              </w:rPr>
              <w:fldChar w:fldCharType="begin" w:fldLock="1"/>
            </w:r>
            <w:r w:rsidR="00A17B85">
              <w:rPr>
                <w:rFonts w:eastAsia="Times New Roman"/>
              </w:rPr>
              <w:instrText>ADDIN CSL_CITATION {"citationItems":[{"id":"ITEM-1","itemData":{"author":[{"dropping-particle":"","family":"Pickering","given":"S. J.","non-dropping-particle":"","parse-names":false,"suffix":""},{"dropping-particle":"","family":"Kelly","given":"R M","non-dropping-particle":"","parse-names":false,"suffix":""},{"dropping-particle":"","family":"Kennerley","given":"J R","non-dropping-particle":"","parse-names":false,"suffix":""},{"dropping-particle":"","family":"Rudd","given":"C D","non-dropping-particle":"","parse-names":false,"suffix":""},{"dropping-particle":"","family":"Fenwick","given":"N J","non-dropping-particle":"","parse-names":false,"suffix":""}],"container-title":"Composites Science and Technology","id":"ITEM-1","issue":"4","issued":{"date-parts":[["2000"]]},"page":"509–523","title":"A fluidised-bed process for the recovery of glass fibres from scrap thermoset composites","type":"article-journal","volume":"60"},"uris":["http://www.mendeley.com/documents/?uuid=b61b9781-e694-4a5a-a0f9-b82ceb75535b"]},{"id":"ITEM-2","itemData":{"author":[{"dropping-particle":"","family":"Pickering","given":"S J","non-dropping-particle":"","parse-names":false,"suffix":""},{"dropping-particle":"","family":"Turner","given":"T A","non-dropping-particle":"","parse-names":false,"suffix":""},{"dropping-particle":"","family":"Meng","given":"F","non-dropping-particle":"","parse-names":false,"suffix":""},{"dropping-particle":"","family":"Morris","given":"C N","non-dropping-particle":"","parse-names":false,"suffix":""},{"dropping-particle":"","family":"Heil","given":"J P","non-dropping-particle":"","parse-names":false,"suffix":""},{"dropping-particle":"","family":"Wong","given":"K H","non-dropping-particle":"","parse-names":false,"suffix":""},{"dropping-particle":"","family":"Melendi","given":"S","non-dropping-particle":"","parse-names":false,"suffix":""}],"container-title":"2nd Annual Composites and Advanced Materials Expo, CAMX 2015","id":"ITEM-2","issued":{"date-parts":[["2015"]]},"publisher":"CAMX 2015","publisher-place":"Dallas, Texas.","title":"DEVELOPMENTS IN THE FLUIDISED BED PROCESS FOR FIBRE RECOVERY FROM THERMOSET COMPOSITES","type":"paper-conference"},"uris":["http://www.mendeley.com/documents/?uuid=a12724fc-bc32-46b7-a352-e52ea5071af2"]},{"id":"ITEM-3","itemData":{"DOI":"10.1016/j.compositesa.2017.05.008","ISSN":"1359835X","abstract":"Carbon fibre reinforced plastic (CFRP) recycling and the reutilisation of the recovered carbon fibre (rCF) can compensate for the high impacts of virgin carbon fibre (vCF) production. In this paper, we evaluate the energy and environmental impacts of CF recycling by a fluidised bed process and reuse to manufacture a CFRP material. A ‘gate-to gate’ life cycle model of the CFRP recycling route using papermaking and compression moulding methods is developed based on energy analysis of the fluidised bed recycling process and processing of rCF. Key recycling plant operating parameters, including plant capacity, feed rate, and air in-leakage are investigated. Life cycle impact assessments demonstrate the environmental benefits of recycled CFRP against end of life treatments-landfilling, incineration. The use of rCF to displace vCF based on material indices (equivalent stiffness and equivalent strength) therefore proves to be a competitive alternative for composite manufacture in terms of environmental impact.","author":[{"dropping-particle":"","family":"Meng","given":"Fanran","non-dropping-particle":"","parse-names":false,"suffix":""},{"dropping-particle":"","family":"McKechnie","given":"J.","non-dropping-particle":"","parse-names":false,"suffix":""},{"dropping-particle":"","family":"Turner","given":"T. A.","non-dropping-particle":"","parse-names":false,"suffix":""},{"dropping-particle":"","family":"Pickering","given":"S. J.","non-dropping-particle":"","parse-names":false,"suffix":""}],"container-title":"Composites Part A: Applied Science and Manufacturing","id":"ITEM-3","issued":{"date-parts":[["2017"]]},"page":"206-214","publisher":"Elsevier Ltd","title":"Energy and environmental assessment and reuse of fluidised bed recycled carbon fibres","type":"article-journal","volume":"100"},"uris":["http://www.mendeley.com/documents/?uuid=e4b2a579-220f-4fe9-ac62-0a15dbaf6d8b"]}],"mendeley":{"formattedCitation":"(Meng et al., 2017b; Pickering et al., 2015, 2000)","plainTextFormattedCitation":"(Meng et al., 2017b; Pickering et al., 2015, 2000)","previouslyFormattedCitation":"(Meng et al., 2017b; Pickering et al., 2015, 2000)"},"properties":{"noteIndex":0},"schema":"https://github.com/citation-style-language/schema/raw/master/csl-citation.json"}</w:instrText>
            </w:r>
            <w:r w:rsidRPr="002A6DBD">
              <w:rPr>
                <w:rFonts w:eastAsia="Times New Roman"/>
              </w:rPr>
              <w:fldChar w:fldCharType="separate"/>
            </w:r>
            <w:r w:rsidR="00B27DC5" w:rsidRPr="00B27DC5">
              <w:rPr>
                <w:rFonts w:eastAsia="Times New Roman"/>
                <w:noProof/>
              </w:rPr>
              <w:t>(Meng et al., 2017b; Pickering et al., 2015, 2000)</w:t>
            </w:r>
            <w:r w:rsidRPr="002A6DBD">
              <w:rPr>
                <w:rFonts w:eastAsia="Times New Roman"/>
              </w:rPr>
              <w:fldChar w:fldCharType="end"/>
            </w:r>
          </w:p>
        </w:tc>
      </w:tr>
      <w:tr w:rsidR="00986457" w:rsidRPr="002A6DBD" w14:paraId="09560623" w14:textId="77777777">
        <w:trPr>
          <w:trHeight w:val="317"/>
        </w:trPr>
        <w:tc>
          <w:tcPr>
            <w:tcW w:w="2863" w:type="dxa"/>
            <w:noWrap/>
          </w:tcPr>
          <w:p w14:paraId="30B76130" w14:textId="77777777" w:rsidR="00986457" w:rsidRPr="002A6DBD" w:rsidRDefault="00986457" w:rsidP="009055C5">
            <w:pPr>
              <w:tabs>
                <w:tab w:val="left" w:pos="851"/>
              </w:tabs>
              <w:spacing w:before="120"/>
              <w:rPr>
                <w:rFonts w:eastAsia="Times New Roman"/>
              </w:rPr>
            </w:pPr>
            <w:r w:rsidRPr="002A6DBD">
              <w:rPr>
                <w:rFonts w:eastAsia="Times New Roman"/>
              </w:rPr>
              <w:t>Pyrolysis</w:t>
            </w:r>
          </w:p>
        </w:tc>
        <w:tc>
          <w:tcPr>
            <w:tcW w:w="1195" w:type="dxa"/>
          </w:tcPr>
          <w:p w14:paraId="061844E9" w14:textId="77777777" w:rsidR="00986457" w:rsidRPr="002A6DBD" w:rsidRDefault="00986457" w:rsidP="009055C5">
            <w:pPr>
              <w:tabs>
                <w:tab w:val="left" w:pos="851"/>
              </w:tabs>
              <w:spacing w:before="120"/>
              <w:rPr>
                <w:rFonts w:eastAsia="Times New Roman"/>
              </w:rPr>
            </w:pPr>
            <w:r>
              <w:rPr>
                <w:rFonts w:eastAsia="Times New Roman"/>
              </w:rPr>
              <w:t>21.21</w:t>
            </w:r>
          </w:p>
        </w:tc>
        <w:tc>
          <w:tcPr>
            <w:tcW w:w="1195" w:type="dxa"/>
          </w:tcPr>
          <w:p w14:paraId="6C184348" w14:textId="77777777" w:rsidR="00986457" w:rsidRPr="002A6DBD" w:rsidRDefault="00986457" w:rsidP="009055C5">
            <w:pPr>
              <w:tabs>
                <w:tab w:val="left" w:pos="851"/>
              </w:tabs>
              <w:spacing w:before="120"/>
              <w:rPr>
                <w:rFonts w:eastAsia="Times New Roman"/>
              </w:rPr>
            </w:pPr>
            <w:r>
              <w:rPr>
                <w:rFonts w:eastAsia="Times New Roman"/>
              </w:rPr>
              <w:t>21.21</w:t>
            </w:r>
          </w:p>
        </w:tc>
        <w:tc>
          <w:tcPr>
            <w:tcW w:w="1196" w:type="dxa"/>
          </w:tcPr>
          <w:p w14:paraId="79DA1A89" w14:textId="77777777" w:rsidR="00986457" w:rsidRPr="002A6DBD" w:rsidRDefault="00986457" w:rsidP="009055C5">
            <w:pPr>
              <w:tabs>
                <w:tab w:val="left" w:pos="851"/>
              </w:tabs>
              <w:spacing w:before="120"/>
              <w:rPr>
                <w:rFonts w:eastAsia="Times New Roman"/>
              </w:rPr>
            </w:pPr>
            <w:r>
              <w:rPr>
                <w:rFonts w:eastAsia="Times New Roman"/>
              </w:rPr>
              <w:t>21.21</w:t>
            </w:r>
          </w:p>
        </w:tc>
        <w:tc>
          <w:tcPr>
            <w:tcW w:w="2536" w:type="dxa"/>
          </w:tcPr>
          <w:p w14:paraId="3F3903DD" w14:textId="77777777" w:rsidR="00986457" w:rsidRPr="002A6DBD" w:rsidRDefault="00107EB7" w:rsidP="007D5ACA">
            <w:pPr>
              <w:tabs>
                <w:tab w:val="left" w:pos="851"/>
              </w:tabs>
              <w:spacing w:before="120"/>
              <w:rPr>
                <w:rFonts w:eastAsia="Times New Roman"/>
              </w:rPr>
            </w:pPr>
            <w:r w:rsidRPr="002A6DBD">
              <w:rPr>
                <w:rFonts w:eastAsia="Times New Roman"/>
              </w:rPr>
              <w:fldChar w:fldCharType="begin" w:fldLock="1"/>
            </w:r>
            <w:r w:rsidR="00A17B85">
              <w:rPr>
                <w:rFonts w:eastAsia="Times New Roman"/>
              </w:rPr>
              <w:instrText>ADDIN CSL_CITATION {"citationItems":[{"id":"ITEM-1","itemData":{"DOI":"10.1080/09593330309385599","ISSN":"0959-3330","PMID":"12803257","abstract":"Several different composite plastics were pyrolysed in a fixed bed reactor at final temperatures between 350 and 800 degrees C. The composites studied were polyester, phenolic, epoxy, vinylester, polypropylene and PET resins, reinforced with glass and/or carbon fibre. The product yields of oil gas and solid residue were determined together with a detailed composition of the derived gases. There was evidence to suggest that calcium carbonate filler, present in the polyester and phenolic composites, decomposed to form carbon dioxide at 800 degrees C, which was subsequently involved in char gasification reactions. Polyester, phenolic and epoxy composites generated highly aromatic, oxygenated condensable products. There was no noticeable correlation between the composition of these products and the final pyrolysis temperature. The tensile strength of recovered glass fibre was lower than that of virgin fibre and decreased markedly as the final pyrolysis temperature increased from 650 to 800 degrees C.","author":[{"dropping-particle":"","family":"Cunliffe","given":"Adrian M","non-dropping-particle":"","parse-names":false,"suffix":""},{"dropping-particle":"","family":"Jones","given":"N","non-dropping-particle":"","parse-names":false,"suffix":""},{"dropping-particle":"","family":"Williams","given":"P T","non-dropping-particle":"","parse-names":false,"suffix":""}],"container-title":"Environmental technology","id":"ITEM-1","issue":"5","issued":{"date-parts":[["2003"]]},"page":"653-663","title":"Pyrolysis of composite plastic waste","type":"article-journal","volume":"24"},"uris":["http://www.mendeley.com/documents/?uuid=0ab67573-eadc-473f-b30e-aaacd145d521"]},{"id":"ITEM-2","itemData":{"DOI":"10.1016/j.compositesa.2013.02.009","ISBN":"1359-835X","ISSN":"1359835X","abstract":"The environmental benefits of recycling are assessed against other end-of-life (EOL) treatments for Carbon Fibre Reinforced Plastic (CFRP) waste. Recycling via pyrolysis, incineration with energy recovery, and disposal via landfilling are compared. To account for physical changes to materials from use and recycling, equivalence between recycled and virgin materials is calculated based on the ability to produce a short fibre composite beam of equivalent stiffness. Secondary effects of using Recycled Carbon Fibre (RCF) in a hypothetical automotive application are also analysed. Results underline the ecological constraints towards recycling CFRPs and demonstrate that benefits from recycling are strongly linked to the impacts of the selected recovery process, the materials replaced by RCF in a secondary application, and also to the type of secondary application in which they are used. © 2013 Elsevier Ltd. All rights reserved.","author":[{"dropping-particle":"","family":"Witik","given":"Robert A.","non-dropping-particle":"","parse-names":false,"suffix":""},{"dropping-particle":"","family":"Teuscher","given":"Remy","non-dropping-particle":"","parse-names":false,"suffix":""},{"dropping-particle":"","family":"Michaud","given":"Véronique","non-dropping-particle":"","parse-names":false,"suffix":""},{"dropping-particle":"","family":"Ludwig","given":"Christian","non-dropping-particle":"","parse-names":false,"suffix":""},{"dropping-particle":"","family":"Månson","given":"Jan Anders E.","non-dropping-particle":"","parse-names":false,"suffix":""}],"container-title":"Composites Part A: Applied Science and Manufacturing","id":"ITEM-2","issued":{"date-parts":[["2013","6"]]},"page":"89-99","publisher":"Elsevier Ltd","title":"Carbon fibre reinforced composite waste: An environmental assessment of recycling, energy recovery and landfilling","type":"article-journal","volume":"49"},"uris":["http://www.mendeley.com/documents/?uuid=02bda057-f108-4e5c-b2b0-0e929246b59b"]},{"id":"ITEM-3","itemData":{"author":[{"dropping-particle":"","family":"Barnes","given":"Frazer","non-dropping-particle":"","parse-names":false,"suffix":""}],"container-title":"GO Carbon FIbre Recycling 2015","id":"ITEM-3","issued":{"date-parts":[["2015"]]},"publisher":"ELG Carbon Fibre Ltd.","publisher-place":"Manchester","title":"Presentation: Commercial Aspects of Carbon Fibre Recycling by ELG Carbon Fibre Ltd.","type":"paper-conference"},"uris":["http://www.mendeley.com/documents/?uuid=c90bb834-caf5-42b9-999b-ddfccdf31a7c"]}],"mendeley":{"formattedCitation":"(Barnes, 2015; Cunliffe et al., 2003; Witik et al., 2013)","plainTextFormattedCitation":"(Barnes, 2015; Cunliffe et al., 2003; Witik et al., 2013)","previouslyFormattedCitation":"(Barnes, 2015; Cunliffe et al., 2003; Witik et al., 2013)"},"properties":{"noteIndex":0},"schema":"https://github.com/citation-style-language/schema/raw/master/csl-citation.json"}</w:instrText>
            </w:r>
            <w:r w:rsidRPr="002A6DBD">
              <w:rPr>
                <w:rFonts w:eastAsia="Times New Roman"/>
              </w:rPr>
              <w:fldChar w:fldCharType="separate"/>
            </w:r>
            <w:r w:rsidR="00B27DC5" w:rsidRPr="00B27DC5">
              <w:rPr>
                <w:rFonts w:eastAsia="Times New Roman"/>
                <w:noProof/>
              </w:rPr>
              <w:t>(Barnes, 2015; Cunliffe et al., 2003; Witik et al., 2013)</w:t>
            </w:r>
            <w:r w:rsidRPr="002A6DBD">
              <w:rPr>
                <w:rFonts w:eastAsia="Times New Roman"/>
              </w:rPr>
              <w:fldChar w:fldCharType="end"/>
            </w:r>
          </w:p>
        </w:tc>
      </w:tr>
      <w:tr w:rsidR="00986457" w:rsidRPr="002A6DBD" w14:paraId="2B6A6FD6" w14:textId="77777777">
        <w:trPr>
          <w:trHeight w:val="317"/>
        </w:trPr>
        <w:tc>
          <w:tcPr>
            <w:tcW w:w="2863" w:type="dxa"/>
            <w:noWrap/>
          </w:tcPr>
          <w:p w14:paraId="44361FD1" w14:textId="77777777" w:rsidR="00986457" w:rsidRPr="002A6DBD" w:rsidRDefault="00986457" w:rsidP="009055C5">
            <w:pPr>
              <w:tabs>
                <w:tab w:val="left" w:pos="851"/>
              </w:tabs>
              <w:spacing w:before="120"/>
              <w:rPr>
                <w:rFonts w:eastAsia="Times New Roman"/>
              </w:rPr>
            </w:pPr>
            <w:r w:rsidRPr="002A6DBD">
              <w:rPr>
                <w:rFonts w:eastAsia="Times New Roman"/>
              </w:rPr>
              <w:t>Microwave Assisted Pyrolysis</w:t>
            </w:r>
          </w:p>
        </w:tc>
        <w:tc>
          <w:tcPr>
            <w:tcW w:w="1195" w:type="dxa"/>
          </w:tcPr>
          <w:p w14:paraId="6B6F6A1E" w14:textId="77777777" w:rsidR="00986457" w:rsidRPr="002A6DBD" w:rsidRDefault="00986457" w:rsidP="009055C5">
            <w:pPr>
              <w:tabs>
                <w:tab w:val="left" w:pos="851"/>
              </w:tabs>
              <w:spacing w:before="120"/>
              <w:rPr>
                <w:rFonts w:eastAsia="Times New Roman"/>
              </w:rPr>
            </w:pPr>
            <w:r>
              <w:rPr>
                <w:rFonts w:eastAsia="Times New Roman"/>
              </w:rPr>
              <w:t>10.00</w:t>
            </w:r>
          </w:p>
        </w:tc>
        <w:tc>
          <w:tcPr>
            <w:tcW w:w="1195" w:type="dxa"/>
          </w:tcPr>
          <w:p w14:paraId="2C46EEE5" w14:textId="77777777" w:rsidR="00986457" w:rsidRPr="002A6DBD" w:rsidRDefault="00986457" w:rsidP="009055C5">
            <w:pPr>
              <w:tabs>
                <w:tab w:val="left" w:pos="851"/>
              </w:tabs>
              <w:spacing w:before="120"/>
              <w:rPr>
                <w:rFonts w:eastAsia="Times New Roman"/>
              </w:rPr>
            </w:pPr>
            <w:r>
              <w:rPr>
                <w:rFonts w:eastAsia="Times New Roman"/>
              </w:rPr>
              <w:t>10.00</w:t>
            </w:r>
          </w:p>
        </w:tc>
        <w:tc>
          <w:tcPr>
            <w:tcW w:w="1196" w:type="dxa"/>
          </w:tcPr>
          <w:p w14:paraId="3847938B" w14:textId="77777777" w:rsidR="00986457" w:rsidRPr="002A6DBD" w:rsidRDefault="00986457" w:rsidP="009055C5">
            <w:pPr>
              <w:tabs>
                <w:tab w:val="left" w:pos="851"/>
              </w:tabs>
              <w:spacing w:before="120"/>
              <w:rPr>
                <w:rFonts w:eastAsia="Times New Roman"/>
              </w:rPr>
            </w:pPr>
            <w:r>
              <w:rPr>
                <w:rFonts w:eastAsia="Times New Roman"/>
              </w:rPr>
              <w:t>10.00</w:t>
            </w:r>
          </w:p>
        </w:tc>
        <w:tc>
          <w:tcPr>
            <w:tcW w:w="2536" w:type="dxa"/>
          </w:tcPr>
          <w:p w14:paraId="2CF418DC" w14:textId="77777777" w:rsidR="00986457" w:rsidRPr="002A6DBD" w:rsidRDefault="00107EB7" w:rsidP="002C5A67">
            <w:pPr>
              <w:tabs>
                <w:tab w:val="left" w:pos="851"/>
              </w:tabs>
              <w:spacing w:before="120"/>
              <w:rPr>
                <w:rFonts w:eastAsia="Times New Roman"/>
              </w:rPr>
            </w:pPr>
            <w:r w:rsidRPr="002A6DBD">
              <w:rPr>
                <w:rFonts w:eastAsia="Times New Roman"/>
              </w:rPr>
              <w:fldChar w:fldCharType="begin" w:fldLock="1"/>
            </w:r>
            <w:r w:rsidR="00A17B85">
              <w:rPr>
                <w:rFonts w:eastAsia="Times New Roman"/>
              </w:rPr>
              <w:instrText>ADDIN CSL_CITATION {"citationItems":[{"id":"ITEM-1","itemData":{"author":[{"dropping-particle":"","family":"Suzuki","given":"Tetsuya","non-dropping-particle":"","parse-names":false,"suffix":""},{"dropping-particle":"","family":"Takahashi","given":"Jun","non-dropping-particle":"","parse-names":false,"suffix":""}],"container-title":"Japan International SAMPE Symposium JISSE-9","id":"ITEM-1","issued":{"date-parts":[["2005"]]},"page":"14-19","title":"Prediction of energy intensity of carbon fiber reinforced plastics for mass-produced passenger cars","type":"article-journal"},"uris":["http://www.mendeley.com/documents/?uuid=b52d38ad-b7ac-41b0-b4c7-e055e1dfb8a3"]}],"mendeley":{"formattedCitation":"(Suzuki and Takahashi, 2005)","plainTextFormattedCitation":"(Suzuki and Takahashi, 2005)","previouslyFormattedCitation":"(Suzuki and Takahashi, 2005)"},"properties":{"noteIndex":0},"schema":"https://github.com/citation-style-language/schema/raw/master/csl-citation.json"}</w:instrText>
            </w:r>
            <w:r w:rsidRPr="002A6DBD">
              <w:rPr>
                <w:rFonts w:eastAsia="Times New Roman"/>
              </w:rPr>
              <w:fldChar w:fldCharType="separate"/>
            </w:r>
            <w:r w:rsidR="00B27DC5" w:rsidRPr="00B27DC5">
              <w:rPr>
                <w:rFonts w:eastAsia="Times New Roman"/>
                <w:noProof/>
              </w:rPr>
              <w:t>(Suzuki and Takahashi, 2005)</w:t>
            </w:r>
            <w:r w:rsidRPr="002A6DBD">
              <w:rPr>
                <w:rFonts w:eastAsia="Times New Roman"/>
              </w:rPr>
              <w:fldChar w:fldCharType="end"/>
            </w:r>
          </w:p>
        </w:tc>
      </w:tr>
      <w:tr w:rsidR="00986457" w:rsidRPr="002A6DBD" w14:paraId="156C36D9" w14:textId="77777777">
        <w:trPr>
          <w:trHeight w:val="317"/>
        </w:trPr>
        <w:tc>
          <w:tcPr>
            <w:tcW w:w="2863" w:type="dxa"/>
            <w:noWrap/>
          </w:tcPr>
          <w:p w14:paraId="2D513C43" w14:textId="77777777" w:rsidR="00986457" w:rsidRPr="002A6DBD" w:rsidRDefault="00986457" w:rsidP="009055C5">
            <w:pPr>
              <w:tabs>
                <w:tab w:val="left" w:pos="851"/>
              </w:tabs>
              <w:spacing w:before="120"/>
              <w:rPr>
                <w:rFonts w:eastAsia="Times New Roman"/>
              </w:rPr>
            </w:pPr>
            <w:r w:rsidRPr="002A6DBD">
              <w:rPr>
                <w:rFonts w:eastAsia="Times New Roman"/>
              </w:rPr>
              <w:t>Chemical</w:t>
            </w:r>
          </w:p>
        </w:tc>
        <w:tc>
          <w:tcPr>
            <w:tcW w:w="1195" w:type="dxa"/>
          </w:tcPr>
          <w:p w14:paraId="20818FD0" w14:textId="77777777" w:rsidR="00986457" w:rsidRPr="002A6DBD" w:rsidRDefault="00986457" w:rsidP="009055C5">
            <w:pPr>
              <w:tabs>
                <w:tab w:val="left" w:pos="851"/>
              </w:tabs>
              <w:spacing w:before="120"/>
              <w:rPr>
                <w:rFonts w:eastAsia="Times New Roman"/>
              </w:rPr>
            </w:pPr>
            <w:r>
              <w:rPr>
                <w:rFonts w:eastAsia="Times New Roman"/>
              </w:rPr>
              <w:t>19.20</w:t>
            </w:r>
          </w:p>
        </w:tc>
        <w:tc>
          <w:tcPr>
            <w:tcW w:w="1195" w:type="dxa"/>
          </w:tcPr>
          <w:p w14:paraId="2576DE41" w14:textId="77777777" w:rsidR="00986457" w:rsidRPr="002A6DBD" w:rsidRDefault="00986457" w:rsidP="009055C5">
            <w:pPr>
              <w:tabs>
                <w:tab w:val="left" w:pos="851"/>
              </w:tabs>
              <w:spacing w:before="120"/>
              <w:rPr>
                <w:rFonts w:eastAsia="Times New Roman"/>
              </w:rPr>
            </w:pPr>
            <w:r>
              <w:rPr>
                <w:rFonts w:eastAsia="Times New Roman"/>
              </w:rPr>
              <w:t>19.20</w:t>
            </w:r>
          </w:p>
        </w:tc>
        <w:tc>
          <w:tcPr>
            <w:tcW w:w="1196" w:type="dxa"/>
          </w:tcPr>
          <w:p w14:paraId="5C392639" w14:textId="77777777" w:rsidR="00986457" w:rsidRPr="002A6DBD" w:rsidRDefault="00986457" w:rsidP="009055C5">
            <w:pPr>
              <w:tabs>
                <w:tab w:val="left" w:pos="851"/>
              </w:tabs>
              <w:spacing w:before="120"/>
              <w:rPr>
                <w:rFonts w:eastAsia="Times New Roman"/>
              </w:rPr>
            </w:pPr>
            <w:r>
              <w:rPr>
                <w:rFonts w:eastAsia="Times New Roman"/>
              </w:rPr>
              <w:t>19.20</w:t>
            </w:r>
          </w:p>
        </w:tc>
        <w:tc>
          <w:tcPr>
            <w:tcW w:w="2536" w:type="dxa"/>
          </w:tcPr>
          <w:p w14:paraId="177C44E8" w14:textId="77777777" w:rsidR="00986457" w:rsidRPr="002A6DBD" w:rsidRDefault="00107EB7" w:rsidP="007D5ACA">
            <w:pPr>
              <w:tabs>
                <w:tab w:val="left" w:pos="851"/>
              </w:tabs>
              <w:spacing w:before="120"/>
              <w:rPr>
                <w:rFonts w:eastAsia="Times New Roman"/>
              </w:rPr>
            </w:pPr>
            <w:r w:rsidRPr="002A6DBD">
              <w:rPr>
                <w:rFonts w:eastAsia="Times New Roman"/>
              </w:rPr>
              <w:fldChar w:fldCharType="begin" w:fldLock="1"/>
            </w:r>
            <w:r w:rsidR="00A17B85">
              <w:rPr>
                <w:rFonts w:eastAsia="Times New Roman"/>
              </w:rPr>
              <w:instrText>ADDIN CSL_CITATION {"citationItems":[{"id":"ITEM-1","itemData":{"author":[{"dropping-particle":"","family":"Keith","given":"Matthew","non-dropping-particle":"","parse-names":false,"suffix":""},{"dropping-particle":"","family":"Oliveux","given":"Géraldine","non-dropping-particle":"","parse-names":false,"suffix":""},{"dropping-particle":"","family":"Leeke","given":"Gary A.","non-dropping-particle":"","parse-names":false,"suffix":""}],"container-title":"ECCM17 - 17th European Conference on Composite Materials","id":"ITEM-1","issue":"July","issued":{"date-parts":[["2016"]]},"page":"26-30","title":"Optimisation of Solvolysis for Recycling Carbon Fibre Reinforced composites","type":"article-journal"},"uris":["http://www.mendeley.com/documents/?uuid=4655118b-eaa0-44fa-bc3a-c81233c198e2"]}],"mendeley":{"formattedCitation":"(Keith et al., 2016)","plainTextFormattedCitation":"(Keith et al., 2016)","previouslyFormattedCitation":"(Keith et al., 2016)"},"properties":{"noteIndex":0},"schema":"https://github.com/citation-style-language/schema/raw/master/csl-citation.json"}</w:instrText>
            </w:r>
            <w:r w:rsidRPr="002A6DBD">
              <w:rPr>
                <w:rFonts w:eastAsia="Times New Roman"/>
              </w:rPr>
              <w:fldChar w:fldCharType="separate"/>
            </w:r>
            <w:r w:rsidR="00B27DC5" w:rsidRPr="00B27DC5">
              <w:rPr>
                <w:rFonts w:eastAsia="Times New Roman"/>
                <w:noProof/>
              </w:rPr>
              <w:t>(Keith et al., 2016)</w:t>
            </w:r>
            <w:r w:rsidRPr="002A6DBD">
              <w:rPr>
                <w:rFonts w:eastAsia="Times New Roman"/>
              </w:rPr>
              <w:fldChar w:fldCharType="end"/>
            </w:r>
          </w:p>
        </w:tc>
      </w:tr>
      <w:tr w:rsidR="00986457" w:rsidRPr="002A6DBD" w14:paraId="26065542" w14:textId="77777777">
        <w:trPr>
          <w:trHeight w:val="317"/>
        </w:trPr>
        <w:tc>
          <w:tcPr>
            <w:tcW w:w="2863" w:type="dxa"/>
            <w:noWrap/>
          </w:tcPr>
          <w:p w14:paraId="7380F001" w14:textId="77777777" w:rsidR="00986457" w:rsidRPr="002A6DBD" w:rsidRDefault="00986457" w:rsidP="009055C5">
            <w:pPr>
              <w:tabs>
                <w:tab w:val="left" w:pos="851"/>
              </w:tabs>
              <w:spacing w:before="120"/>
              <w:rPr>
                <w:rFonts w:eastAsia="Times New Roman"/>
              </w:rPr>
            </w:pPr>
            <w:r w:rsidRPr="002A6DBD">
              <w:rPr>
                <w:rFonts w:eastAsia="Times New Roman"/>
              </w:rPr>
              <w:t>High Voltage Fragmentation</w:t>
            </w:r>
          </w:p>
        </w:tc>
        <w:tc>
          <w:tcPr>
            <w:tcW w:w="1195" w:type="dxa"/>
          </w:tcPr>
          <w:p w14:paraId="34845A03" w14:textId="77777777" w:rsidR="00986457" w:rsidRPr="002A6DBD" w:rsidRDefault="00986457" w:rsidP="009055C5">
            <w:pPr>
              <w:tabs>
                <w:tab w:val="left" w:pos="851"/>
              </w:tabs>
              <w:spacing w:before="120"/>
              <w:rPr>
                <w:rFonts w:eastAsia="Times New Roman"/>
              </w:rPr>
            </w:pPr>
            <w:r>
              <w:rPr>
                <w:rFonts w:eastAsia="Times New Roman"/>
              </w:rPr>
              <w:t>16.20</w:t>
            </w:r>
          </w:p>
        </w:tc>
        <w:tc>
          <w:tcPr>
            <w:tcW w:w="1195" w:type="dxa"/>
          </w:tcPr>
          <w:p w14:paraId="547E0479" w14:textId="77777777" w:rsidR="00986457" w:rsidRPr="002A6DBD" w:rsidRDefault="00986457" w:rsidP="009055C5">
            <w:pPr>
              <w:tabs>
                <w:tab w:val="left" w:pos="851"/>
              </w:tabs>
              <w:spacing w:before="120"/>
              <w:rPr>
                <w:rFonts w:eastAsia="Times New Roman"/>
              </w:rPr>
            </w:pPr>
            <w:r>
              <w:rPr>
                <w:rFonts w:eastAsia="Times New Roman"/>
              </w:rPr>
              <w:t>16.20</w:t>
            </w:r>
          </w:p>
        </w:tc>
        <w:tc>
          <w:tcPr>
            <w:tcW w:w="1196" w:type="dxa"/>
          </w:tcPr>
          <w:p w14:paraId="017E7891" w14:textId="77777777" w:rsidR="00986457" w:rsidRPr="002A6DBD" w:rsidRDefault="00986457" w:rsidP="009055C5">
            <w:pPr>
              <w:tabs>
                <w:tab w:val="left" w:pos="851"/>
              </w:tabs>
              <w:spacing w:before="120"/>
              <w:rPr>
                <w:rFonts w:eastAsia="Times New Roman"/>
              </w:rPr>
            </w:pPr>
            <w:r>
              <w:rPr>
                <w:rFonts w:eastAsia="Times New Roman"/>
              </w:rPr>
              <w:t>16.20</w:t>
            </w:r>
          </w:p>
        </w:tc>
        <w:tc>
          <w:tcPr>
            <w:tcW w:w="2536" w:type="dxa"/>
          </w:tcPr>
          <w:p w14:paraId="6BE407A6" w14:textId="77777777" w:rsidR="00986457" w:rsidRPr="002A6DBD" w:rsidRDefault="00107EB7" w:rsidP="007D5ACA">
            <w:pPr>
              <w:tabs>
                <w:tab w:val="left" w:pos="851"/>
              </w:tabs>
              <w:spacing w:before="120"/>
              <w:rPr>
                <w:rFonts w:eastAsia="Times New Roman"/>
              </w:rPr>
            </w:pPr>
            <w:r w:rsidRPr="002A6DBD">
              <w:rPr>
                <w:rFonts w:eastAsia="Times New Roman"/>
              </w:rPr>
              <w:fldChar w:fldCharType="begin" w:fldLock="1"/>
            </w:r>
            <w:r w:rsidR="00A17B85">
              <w:rPr>
                <w:rFonts w:eastAsia="Times New Roman"/>
              </w:rPr>
              <w:instrText>ADDIN CSL_CITATION {"citationItems":[{"id":"ITEM-1","itemData":{"author":[{"dropping-particle":"","family":"Weh","given":"Alexander","non-dropping-particle":"","parse-names":false,"suffix":""}],"id":"ITEM-1","issued":{"date-parts":[["2012"]]},"number-of-pages":"1-10","publisher-place":"SELFRAG AG","title":"Final Report Summary – SELFRAG CFRP (High Voltage Pulse Fragmentation Technology to Recycle Fibre-Reinforced Composites) – figures","type":"report"},"uris":["http://www.mendeley.com/documents/?uuid=508f2f0d-6890-4737-b947-207f75b47b97"]}],"mendeley":{"formattedCitation":"(Weh, 2012b)","plainTextFormattedCitation":"(Weh, 2012b)","previouslyFormattedCitation":"(Weh, 2012b)"},"properties":{"noteIndex":0},"schema":"https://github.com/citation-style-language/schema/raw/master/csl-citation.json"}</w:instrText>
            </w:r>
            <w:r w:rsidRPr="002A6DBD">
              <w:rPr>
                <w:rFonts w:eastAsia="Times New Roman"/>
              </w:rPr>
              <w:fldChar w:fldCharType="separate"/>
            </w:r>
            <w:r w:rsidR="00B27DC5" w:rsidRPr="00B27DC5">
              <w:rPr>
                <w:rFonts w:eastAsia="Times New Roman"/>
                <w:noProof/>
              </w:rPr>
              <w:t>(Weh, 2012b)</w:t>
            </w:r>
            <w:r w:rsidRPr="002A6DBD">
              <w:rPr>
                <w:rFonts w:eastAsia="Times New Roman"/>
              </w:rPr>
              <w:fldChar w:fldCharType="end"/>
            </w:r>
          </w:p>
        </w:tc>
      </w:tr>
      <w:tr w:rsidR="00B44120" w:rsidRPr="002A6DBD" w14:paraId="4EC879BC" w14:textId="77777777">
        <w:trPr>
          <w:trHeight w:val="317"/>
        </w:trPr>
        <w:tc>
          <w:tcPr>
            <w:tcW w:w="2863" w:type="dxa"/>
            <w:noWrap/>
          </w:tcPr>
          <w:p w14:paraId="5C017DD9" w14:textId="77777777" w:rsidR="00B44120" w:rsidRPr="002A6DBD" w:rsidRDefault="00B44120" w:rsidP="009055C5">
            <w:pPr>
              <w:tabs>
                <w:tab w:val="left" w:pos="851"/>
              </w:tabs>
              <w:spacing w:before="120"/>
              <w:rPr>
                <w:rFonts w:eastAsia="Times New Roman"/>
              </w:rPr>
            </w:pPr>
            <w:r w:rsidRPr="002A6DBD">
              <w:rPr>
                <w:rFonts w:eastAsia="Times New Roman"/>
              </w:rPr>
              <w:t>Life extension 2 years</w:t>
            </w:r>
          </w:p>
        </w:tc>
        <w:tc>
          <w:tcPr>
            <w:tcW w:w="1195" w:type="dxa"/>
          </w:tcPr>
          <w:p w14:paraId="4045C280" w14:textId="77777777" w:rsidR="00B44120" w:rsidRPr="002A6DBD" w:rsidRDefault="00B44120" w:rsidP="009055C5">
            <w:pPr>
              <w:tabs>
                <w:tab w:val="left" w:pos="851"/>
              </w:tabs>
              <w:spacing w:before="120"/>
              <w:rPr>
                <w:rFonts w:eastAsia="Times New Roman"/>
              </w:rPr>
            </w:pPr>
            <w:r w:rsidRPr="002A6DBD">
              <w:rPr>
                <w:rFonts w:eastAsia="Times New Roman"/>
              </w:rPr>
              <w:t>0.55</w:t>
            </w:r>
          </w:p>
        </w:tc>
        <w:tc>
          <w:tcPr>
            <w:tcW w:w="1195" w:type="dxa"/>
          </w:tcPr>
          <w:p w14:paraId="4F438C14" w14:textId="77777777" w:rsidR="00B44120" w:rsidRPr="002A6DBD" w:rsidRDefault="00B44120" w:rsidP="009055C5">
            <w:pPr>
              <w:tabs>
                <w:tab w:val="left" w:pos="851"/>
              </w:tabs>
              <w:spacing w:before="120"/>
              <w:rPr>
                <w:rFonts w:eastAsia="Times New Roman"/>
              </w:rPr>
            </w:pPr>
            <w:r w:rsidRPr="002A6DBD">
              <w:rPr>
                <w:rFonts w:eastAsia="Times New Roman"/>
              </w:rPr>
              <w:t>0.70</w:t>
            </w:r>
          </w:p>
        </w:tc>
        <w:tc>
          <w:tcPr>
            <w:tcW w:w="1196" w:type="dxa"/>
          </w:tcPr>
          <w:p w14:paraId="6D61C476" w14:textId="77777777" w:rsidR="00B44120" w:rsidRPr="002A6DBD" w:rsidRDefault="00B44120" w:rsidP="009055C5">
            <w:pPr>
              <w:tabs>
                <w:tab w:val="left" w:pos="851"/>
              </w:tabs>
              <w:spacing w:before="120"/>
              <w:rPr>
                <w:rFonts w:eastAsia="Times New Roman"/>
              </w:rPr>
            </w:pPr>
            <w:r w:rsidRPr="002A6DBD">
              <w:rPr>
                <w:rFonts w:eastAsia="Times New Roman"/>
              </w:rPr>
              <w:t>1.40</w:t>
            </w:r>
          </w:p>
        </w:tc>
        <w:tc>
          <w:tcPr>
            <w:tcW w:w="2536" w:type="dxa"/>
          </w:tcPr>
          <w:p w14:paraId="5ABAE3F8" w14:textId="77777777" w:rsidR="00B44120" w:rsidRPr="002A6DBD" w:rsidRDefault="00B44120" w:rsidP="009055C5">
            <w:pPr>
              <w:tabs>
                <w:tab w:val="left" w:pos="851"/>
              </w:tabs>
              <w:spacing w:before="120"/>
              <w:rPr>
                <w:rFonts w:eastAsia="Times New Roman"/>
              </w:rPr>
            </w:pPr>
            <w:r w:rsidRPr="002A6DBD">
              <w:rPr>
                <w:rFonts w:eastAsia="Times New Roman"/>
              </w:rPr>
              <w:t>By author</w:t>
            </w:r>
          </w:p>
        </w:tc>
      </w:tr>
      <w:tr w:rsidR="00B44120" w:rsidRPr="002A6DBD" w14:paraId="65748764" w14:textId="77777777">
        <w:trPr>
          <w:trHeight w:val="317"/>
        </w:trPr>
        <w:tc>
          <w:tcPr>
            <w:tcW w:w="2863" w:type="dxa"/>
            <w:noWrap/>
          </w:tcPr>
          <w:p w14:paraId="7BF2F690" w14:textId="77777777" w:rsidR="00B44120" w:rsidRPr="002A6DBD" w:rsidRDefault="00B44120" w:rsidP="009055C5">
            <w:pPr>
              <w:tabs>
                <w:tab w:val="left" w:pos="851"/>
              </w:tabs>
              <w:spacing w:before="120"/>
              <w:rPr>
                <w:rFonts w:eastAsia="Times New Roman"/>
              </w:rPr>
            </w:pPr>
            <w:r w:rsidRPr="002A6DBD">
              <w:rPr>
                <w:rFonts w:eastAsia="Times New Roman"/>
              </w:rPr>
              <w:t>Life extension 5 years</w:t>
            </w:r>
          </w:p>
        </w:tc>
        <w:tc>
          <w:tcPr>
            <w:tcW w:w="1195" w:type="dxa"/>
          </w:tcPr>
          <w:p w14:paraId="32E9E747" w14:textId="77777777" w:rsidR="00B44120" w:rsidRPr="002A6DBD" w:rsidRDefault="00B44120" w:rsidP="009055C5">
            <w:pPr>
              <w:tabs>
                <w:tab w:val="left" w:pos="851"/>
              </w:tabs>
              <w:spacing w:before="120"/>
              <w:rPr>
                <w:rFonts w:eastAsia="Times New Roman"/>
              </w:rPr>
            </w:pPr>
            <w:r w:rsidRPr="002A6DBD">
              <w:rPr>
                <w:rFonts w:eastAsia="Times New Roman"/>
              </w:rPr>
              <w:t>1.37</w:t>
            </w:r>
          </w:p>
        </w:tc>
        <w:tc>
          <w:tcPr>
            <w:tcW w:w="1195" w:type="dxa"/>
          </w:tcPr>
          <w:p w14:paraId="525A5719" w14:textId="77777777" w:rsidR="00B44120" w:rsidRPr="002A6DBD" w:rsidRDefault="00B44120" w:rsidP="009055C5">
            <w:pPr>
              <w:tabs>
                <w:tab w:val="left" w:pos="851"/>
              </w:tabs>
              <w:spacing w:before="120"/>
              <w:rPr>
                <w:rFonts w:eastAsia="Times New Roman"/>
              </w:rPr>
            </w:pPr>
            <w:r w:rsidRPr="002A6DBD">
              <w:rPr>
                <w:rFonts w:eastAsia="Times New Roman"/>
              </w:rPr>
              <w:t>1.75</w:t>
            </w:r>
          </w:p>
        </w:tc>
        <w:tc>
          <w:tcPr>
            <w:tcW w:w="1196" w:type="dxa"/>
          </w:tcPr>
          <w:p w14:paraId="6ECC3EC8" w14:textId="77777777" w:rsidR="00B44120" w:rsidRPr="002A6DBD" w:rsidRDefault="00B44120" w:rsidP="009055C5">
            <w:pPr>
              <w:tabs>
                <w:tab w:val="left" w:pos="851"/>
              </w:tabs>
              <w:spacing w:before="120"/>
              <w:rPr>
                <w:rFonts w:eastAsia="Times New Roman"/>
              </w:rPr>
            </w:pPr>
            <w:r w:rsidRPr="002A6DBD">
              <w:rPr>
                <w:rFonts w:eastAsia="Times New Roman"/>
              </w:rPr>
              <w:t>3.49</w:t>
            </w:r>
          </w:p>
        </w:tc>
        <w:tc>
          <w:tcPr>
            <w:tcW w:w="2536" w:type="dxa"/>
          </w:tcPr>
          <w:p w14:paraId="2C9183A8" w14:textId="77777777" w:rsidR="00B44120" w:rsidRPr="002A6DBD" w:rsidRDefault="00B44120" w:rsidP="009055C5">
            <w:pPr>
              <w:tabs>
                <w:tab w:val="left" w:pos="851"/>
              </w:tabs>
              <w:spacing w:before="120"/>
              <w:rPr>
                <w:rFonts w:eastAsia="Times New Roman"/>
              </w:rPr>
            </w:pPr>
            <w:r w:rsidRPr="002A6DBD">
              <w:rPr>
                <w:rFonts w:eastAsia="Times New Roman"/>
              </w:rPr>
              <w:t>By author</w:t>
            </w:r>
          </w:p>
        </w:tc>
      </w:tr>
      <w:tr w:rsidR="00B44120" w:rsidRPr="002A6DBD" w14:paraId="52BEB0D5" w14:textId="77777777">
        <w:trPr>
          <w:trHeight w:val="515"/>
        </w:trPr>
        <w:tc>
          <w:tcPr>
            <w:tcW w:w="2863" w:type="dxa"/>
            <w:noWrap/>
          </w:tcPr>
          <w:p w14:paraId="427AEC7B" w14:textId="77777777" w:rsidR="00B44120" w:rsidRPr="002A6DBD" w:rsidRDefault="00B44120" w:rsidP="009055C5">
            <w:pPr>
              <w:tabs>
                <w:tab w:val="left" w:pos="851"/>
              </w:tabs>
              <w:spacing w:before="120"/>
              <w:rPr>
                <w:rFonts w:eastAsia="Times New Roman"/>
              </w:rPr>
            </w:pPr>
            <w:r w:rsidRPr="002A6DBD">
              <w:rPr>
                <w:rFonts w:eastAsia="Times New Roman"/>
              </w:rPr>
              <w:t>Life extension 10 years</w:t>
            </w:r>
          </w:p>
        </w:tc>
        <w:tc>
          <w:tcPr>
            <w:tcW w:w="1195" w:type="dxa"/>
          </w:tcPr>
          <w:p w14:paraId="00CF0CC5" w14:textId="77777777" w:rsidR="00B44120" w:rsidRPr="002A6DBD" w:rsidRDefault="00B44120" w:rsidP="009055C5">
            <w:pPr>
              <w:tabs>
                <w:tab w:val="left" w:pos="851"/>
              </w:tabs>
              <w:spacing w:before="120"/>
              <w:rPr>
                <w:rFonts w:eastAsia="Times New Roman"/>
              </w:rPr>
            </w:pPr>
            <w:r w:rsidRPr="002A6DBD">
              <w:rPr>
                <w:rFonts w:eastAsia="Times New Roman"/>
              </w:rPr>
              <w:t>2.73</w:t>
            </w:r>
          </w:p>
        </w:tc>
        <w:tc>
          <w:tcPr>
            <w:tcW w:w="1195" w:type="dxa"/>
          </w:tcPr>
          <w:p w14:paraId="22298C21" w14:textId="77777777" w:rsidR="00B44120" w:rsidRPr="002A6DBD" w:rsidRDefault="00B44120" w:rsidP="009055C5">
            <w:pPr>
              <w:tabs>
                <w:tab w:val="left" w:pos="851"/>
              </w:tabs>
              <w:spacing w:before="120"/>
              <w:rPr>
                <w:rFonts w:eastAsia="Times New Roman"/>
              </w:rPr>
            </w:pPr>
            <w:r w:rsidRPr="002A6DBD">
              <w:rPr>
                <w:rFonts w:eastAsia="Times New Roman"/>
              </w:rPr>
              <w:t>3.50</w:t>
            </w:r>
          </w:p>
        </w:tc>
        <w:tc>
          <w:tcPr>
            <w:tcW w:w="1196" w:type="dxa"/>
          </w:tcPr>
          <w:p w14:paraId="2EF1880F" w14:textId="77777777" w:rsidR="00B44120" w:rsidRPr="002A6DBD" w:rsidRDefault="00B44120" w:rsidP="009055C5">
            <w:pPr>
              <w:tabs>
                <w:tab w:val="left" w:pos="851"/>
              </w:tabs>
              <w:spacing w:before="120"/>
              <w:rPr>
                <w:rFonts w:eastAsia="Times New Roman"/>
              </w:rPr>
            </w:pPr>
            <w:r w:rsidRPr="002A6DBD">
              <w:rPr>
                <w:rFonts w:eastAsia="Times New Roman"/>
              </w:rPr>
              <w:t>6.99</w:t>
            </w:r>
          </w:p>
        </w:tc>
        <w:tc>
          <w:tcPr>
            <w:tcW w:w="2536" w:type="dxa"/>
          </w:tcPr>
          <w:p w14:paraId="02FD8407" w14:textId="77777777" w:rsidR="00B44120" w:rsidRPr="002A6DBD" w:rsidRDefault="00B44120" w:rsidP="009055C5">
            <w:pPr>
              <w:tabs>
                <w:tab w:val="left" w:pos="851"/>
              </w:tabs>
              <w:spacing w:before="120"/>
              <w:rPr>
                <w:rFonts w:eastAsia="Times New Roman"/>
              </w:rPr>
            </w:pPr>
            <w:r w:rsidRPr="002A6DBD">
              <w:rPr>
                <w:rFonts w:eastAsia="Times New Roman"/>
              </w:rPr>
              <w:t>By author</w:t>
            </w:r>
          </w:p>
        </w:tc>
      </w:tr>
    </w:tbl>
    <w:p w14:paraId="7892CAFC" w14:textId="77777777" w:rsidR="00B44120" w:rsidRDefault="00B44120" w:rsidP="0022044B">
      <w:pPr>
        <w:pStyle w:val="Caption"/>
      </w:pPr>
      <w:bookmarkStart w:id="4" w:name="_Toc486169605"/>
      <w:r w:rsidRPr="002A6DBD">
        <w:t xml:space="preserve">Table </w:t>
      </w:r>
      <w:r w:rsidR="00107EB7">
        <w:fldChar w:fldCharType="begin"/>
      </w:r>
      <w:r w:rsidR="00377D2D">
        <w:instrText xml:space="preserve"> SEQ Table \* ARABIC </w:instrText>
      </w:r>
      <w:r w:rsidR="00107EB7">
        <w:fldChar w:fldCharType="separate"/>
      </w:r>
      <w:r w:rsidR="00CB61A7">
        <w:rPr>
          <w:noProof/>
        </w:rPr>
        <w:t>4</w:t>
      </w:r>
      <w:r w:rsidR="00107EB7">
        <w:rPr>
          <w:noProof/>
        </w:rPr>
        <w:fldChar w:fldCharType="end"/>
      </w:r>
      <w:r w:rsidRPr="002A6DBD">
        <w:rPr>
          <w:rFonts w:ascii="Hannotate SC Regular" w:eastAsia="Hannotate SC Regular" w:hAnsi="Hannotate SC Regular" w:cs="Hannotate SC Regular" w:hint="eastAsia"/>
        </w:rPr>
        <w:t xml:space="preserve">: </w:t>
      </w:r>
      <w:r w:rsidRPr="002A6DBD">
        <w:t xml:space="preserve">Composite </w:t>
      </w:r>
      <w:proofErr w:type="spellStart"/>
      <w:r w:rsidRPr="002A6DBD">
        <w:t>EoL</w:t>
      </w:r>
      <w:proofErr w:type="spellEnd"/>
      <w:r w:rsidRPr="002A6DBD">
        <w:t xml:space="preserve"> option: base case energy requirement.</w:t>
      </w:r>
      <w:bookmarkEnd w:id="4"/>
    </w:p>
    <w:p w14:paraId="3282186A" w14:textId="77777777" w:rsidR="00B44120" w:rsidRDefault="00B44120" w:rsidP="00B44120">
      <w:pPr>
        <w:pStyle w:val="Heading2"/>
      </w:pPr>
      <w:r w:rsidRPr="002A6DBD">
        <w:lastRenderedPageBreak/>
        <w:t>Recycling benefits</w:t>
      </w:r>
    </w:p>
    <w:p w14:paraId="43EF5F84" w14:textId="264D6317" w:rsidR="00F97C28" w:rsidRPr="00B44120" w:rsidRDefault="00B44120" w:rsidP="00B44120">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t xml:space="preserve">The outputs of composite recycling include energy, fibre, filler and resin. The actual </w:t>
      </w:r>
      <w:r w:rsidR="009406B5" w:rsidRPr="00B44120">
        <w:rPr>
          <w:rFonts w:ascii="Helvetica" w:eastAsia="Times New Roman" w:hAnsi="Helvetica" w:cs="Times New Roman"/>
          <w:sz w:val="22"/>
          <w:lang w:eastAsia="en-GB"/>
        </w:rPr>
        <w:t>recycl</w:t>
      </w:r>
      <w:r w:rsidR="009406B5">
        <w:rPr>
          <w:rFonts w:ascii="Helvetica" w:eastAsia="Times New Roman" w:hAnsi="Helvetica" w:cs="Times New Roman"/>
          <w:sz w:val="22"/>
          <w:lang w:eastAsia="en-GB"/>
        </w:rPr>
        <w:t>ate</w:t>
      </w:r>
      <w:r w:rsidR="009406B5"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product varies for each specific recycling process. Conventional landfill </w:t>
      </w:r>
      <w:r w:rsidR="009406B5">
        <w:rPr>
          <w:rFonts w:ascii="Helvetica" w:eastAsia="Times New Roman" w:hAnsi="Helvetica" w:cs="Times New Roman"/>
          <w:sz w:val="22"/>
          <w:lang w:eastAsia="en-GB"/>
        </w:rPr>
        <w:t>generates</w:t>
      </w:r>
      <w:r w:rsidR="009406B5"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no recyclate. Incineration has the potential to recover heat energy while mechanical recycling, the fluidised-bed, pyrolysis, MAP and HVF </w:t>
      </w:r>
      <w:r w:rsidR="00B36FC0">
        <w:rPr>
          <w:rFonts w:ascii="Helvetica" w:eastAsia="Times New Roman" w:hAnsi="Helvetica" w:cs="Times New Roman"/>
          <w:sz w:val="22"/>
          <w:lang w:eastAsia="en-GB"/>
        </w:rPr>
        <w:t xml:space="preserve">recycling processes </w:t>
      </w:r>
      <w:r w:rsidRPr="00B44120">
        <w:rPr>
          <w:rFonts w:ascii="Helvetica" w:eastAsia="Times New Roman" w:hAnsi="Helvetica" w:cs="Times New Roman"/>
          <w:sz w:val="22"/>
          <w:lang w:eastAsia="en-GB"/>
        </w:rPr>
        <w:t>are able to reclaim fibre and filler. Chemical recycling can recover fibre</w:t>
      </w:r>
      <w:r w:rsidR="00B73B85">
        <w:rPr>
          <w:rFonts w:ascii="Helvetica" w:eastAsia="Times New Roman" w:hAnsi="Helvetica" w:cs="Times New Roman"/>
          <w:sz w:val="22"/>
          <w:lang w:eastAsia="en-GB"/>
        </w:rPr>
        <w:t xml:space="preserve"> and</w:t>
      </w:r>
      <w:r w:rsidRPr="00B44120">
        <w:rPr>
          <w:rFonts w:ascii="Helvetica" w:eastAsia="Times New Roman" w:hAnsi="Helvetica" w:cs="Times New Roman"/>
          <w:sz w:val="22"/>
          <w:lang w:eastAsia="en-GB"/>
        </w:rPr>
        <w:t xml:space="preserve"> filler </w:t>
      </w:r>
      <w:r w:rsidR="00DC1D87">
        <w:rPr>
          <w:rFonts w:ascii="Helvetica" w:eastAsia="Times New Roman" w:hAnsi="Helvetica" w:cs="Times New Roman"/>
          <w:sz w:val="22"/>
          <w:lang w:eastAsia="en-GB"/>
        </w:rPr>
        <w:t>as well as</w:t>
      </w:r>
      <w:r w:rsidR="00DC1D87"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resin. Life extension </w:t>
      </w:r>
      <w:r w:rsidR="00DC1D87">
        <w:rPr>
          <w:rFonts w:ascii="Helvetica" w:eastAsia="Times New Roman" w:hAnsi="Helvetica" w:cs="Times New Roman"/>
          <w:sz w:val="22"/>
          <w:lang w:eastAsia="en-GB"/>
        </w:rPr>
        <w:t>reduces</w:t>
      </w:r>
      <w:r w:rsidR="00DC1D87"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new material usage which is equivalent to reclaiming energy. </w:t>
      </w:r>
      <w:r w:rsidR="009406B5">
        <w:rPr>
          <w:rFonts w:ascii="Helvetica" w:eastAsia="Times New Roman" w:hAnsi="Helvetica" w:cs="Times New Roman"/>
          <w:sz w:val="22"/>
          <w:lang w:eastAsia="en-GB"/>
        </w:rPr>
        <w:t>R</w:t>
      </w:r>
      <w:r w:rsidRPr="00B44120">
        <w:rPr>
          <w:rFonts w:ascii="Helvetica" w:eastAsia="Times New Roman" w:hAnsi="Helvetica" w:cs="Times New Roman"/>
          <w:sz w:val="22"/>
          <w:lang w:eastAsia="en-GB"/>
        </w:rPr>
        <w:t xml:space="preserve">ecyclate </w:t>
      </w:r>
      <w:r w:rsidR="009406B5">
        <w:rPr>
          <w:rFonts w:ascii="Helvetica" w:eastAsia="Times New Roman" w:hAnsi="Helvetica" w:cs="Times New Roman"/>
          <w:sz w:val="22"/>
          <w:lang w:eastAsia="en-GB"/>
        </w:rPr>
        <w:t xml:space="preserve">products </w:t>
      </w:r>
      <w:r w:rsidRPr="00B44120">
        <w:rPr>
          <w:rFonts w:ascii="Helvetica" w:eastAsia="Times New Roman" w:hAnsi="Helvetica" w:cs="Times New Roman"/>
          <w:sz w:val="22"/>
          <w:lang w:eastAsia="en-GB"/>
        </w:rPr>
        <w:t>and energy are treated as the recycling benefits in this study.</w:t>
      </w:r>
    </w:p>
    <w:p w14:paraId="393BF0F8" w14:textId="6D3EBB5C" w:rsidR="00B27DC5" w:rsidRDefault="0010155B" w:rsidP="00B44120">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 xml:space="preserve">The </w:t>
      </w:r>
      <w:r w:rsidRPr="00B44120">
        <w:rPr>
          <w:rFonts w:ascii="Helvetica" w:eastAsia="Times New Roman" w:hAnsi="Helvetica" w:cs="Times New Roman"/>
          <w:sz w:val="22"/>
          <w:lang w:eastAsia="en-GB"/>
        </w:rPr>
        <w:t>recycling benefits</w:t>
      </w:r>
      <w:r w:rsidR="00B44120" w:rsidRPr="00B44120">
        <w:rPr>
          <w:rFonts w:ascii="Helvetica" w:eastAsia="Times New Roman" w:hAnsi="Helvetica" w:cs="Times New Roman"/>
          <w:sz w:val="22"/>
          <w:lang w:eastAsia="en-GB"/>
        </w:rPr>
        <w:t xml:space="preserve"> of </w:t>
      </w:r>
      <w:r>
        <w:rPr>
          <w:rFonts w:ascii="Helvetica" w:eastAsia="Times New Roman" w:hAnsi="Helvetica" w:cs="Times New Roman"/>
          <w:sz w:val="22"/>
          <w:lang w:eastAsia="en-GB"/>
        </w:rPr>
        <w:t xml:space="preserve">the </w:t>
      </w:r>
      <w:r w:rsidR="00B44120" w:rsidRPr="00B44120">
        <w:rPr>
          <w:rFonts w:ascii="Helvetica" w:eastAsia="Times New Roman" w:hAnsi="Helvetica" w:cs="Times New Roman"/>
          <w:sz w:val="22"/>
          <w:lang w:eastAsia="en-GB"/>
        </w:rPr>
        <w:t>recyclate</w:t>
      </w:r>
      <w:r>
        <w:rPr>
          <w:rFonts w:ascii="Helvetica" w:eastAsia="Times New Roman" w:hAnsi="Helvetica" w:cs="Times New Roman"/>
          <w:sz w:val="22"/>
          <w:lang w:eastAsia="en-GB"/>
        </w:rPr>
        <w:t xml:space="preserve"> have</w:t>
      </w:r>
      <w:r w:rsidR="00905657">
        <w:rPr>
          <w:rFonts w:ascii="Helvetica" w:eastAsia="Times New Roman" w:hAnsi="Helvetica" w:cs="Times New Roman"/>
          <w:sz w:val="22"/>
          <w:lang w:eastAsia="en-GB"/>
        </w:rPr>
        <w:t xml:space="preserve"> been defined</w:t>
      </w:r>
      <w:r w:rsidR="00056BD5">
        <w:rPr>
          <w:rFonts w:ascii="Helvetica" w:eastAsia="Times New Roman" w:hAnsi="Helvetica" w:cs="Times New Roman"/>
          <w:sz w:val="22"/>
          <w:lang w:eastAsia="en-GB"/>
        </w:rPr>
        <w:t xml:space="preserve"> in </w:t>
      </w:r>
      <w:r w:rsidR="00B36FC0">
        <w:rPr>
          <w:rFonts w:ascii="Helvetica" w:eastAsia="Times New Roman" w:hAnsi="Helvetica" w:cs="Times New Roman"/>
          <w:sz w:val="22"/>
          <w:lang w:eastAsia="en-GB"/>
        </w:rPr>
        <w:t xml:space="preserve">Section </w:t>
      </w:r>
      <w:r w:rsidR="00056BD5">
        <w:rPr>
          <w:rFonts w:ascii="Helvetica" w:eastAsia="Times New Roman" w:hAnsi="Helvetica" w:cs="Times New Roman"/>
          <w:sz w:val="22"/>
          <w:lang w:eastAsia="en-GB"/>
        </w:rPr>
        <w:t xml:space="preserve">2.1 </w:t>
      </w:r>
      <w:r w:rsidR="00905657">
        <w:rPr>
          <w:rFonts w:ascii="Helvetica" w:eastAsia="Times New Roman" w:hAnsi="Helvetica" w:cs="Times New Roman"/>
          <w:sz w:val="22"/>
          <w:lang w:eastAsia="en-GB"/>
        </w:rPr>
        <w:t>as</w:t>
      </w:r>
      <w:r w:rsidR="00B44120" w:rsidRPr="00B44120">
        <w:rPr>
          <w:rFonts w:ascii="Helvetica" w:eastAsia="Times New Roman" w:hAnsi="Helvetica" w:cs="Times New Roman"/>
          <w:sz w:val="22"/>
          <w:lang w:eastAsia="en-GB"/>
        </w:rPr>
        <w:t xml:space="preserve"> </w:t>
      </w:r>
      <w:r>
        <w:rPr>
          <w:rFonts w:ascii="Helvetica" w:eastAsia="Times New Roman" w:hAnsi="Helvetica" w:cs="Times New Roman"/>
          <w:sz w:val="22"/>
          <w:lang w:eastAsia="en-GB"/>
        </w:rPr>
        <w:t>being</w:t>
      </w:r>
      <w:r w:rsidR="00B44120" w:rsidRPr="00B44120">
        <w:rPr>
          <w:rFonts w:ascii="Helvetica" w:eastAsia="Times New Roman" w:hAnsi="Helvetica" w:cs="Times New Roman"/>
          <w:sz w:val="22"/>
          <w:lang w:eastAsia="en-GB"/>
        </w:rPr>
        <w:t xml:space="preserve"> proportional to the tensile strength of the recyclate compared to the strength of virgin material. The tensile strength of recycled fibres found in the lite</w:t>
      </w:r>
      <w:r w:rsidR="00BF2612">
        <w:rPr>
          <w:rFonts w:ascii="Helvetica" w:eastAsia="Times New Roman" w:hAnsi="Helvetica" w:cs="Times New Roman"/>
          <w:sz w:val="22"/>
          <w:lang w:eastAsia="en-GB"/>
        </w:rPr>
        <w:t xml:space="preserve">rature is summarised in Table </w:t>
      </w:r>
      <w:r w:rsidR="00056BD5">
        <w:rPr>
          <w:rFonts w:ascii="Helvetica" w:eastAsia="Times New Roman" w:hAnsi="Helvetica" w:cs="Times New Roman"/>
          <w:sz w:val="22"/>
          <w:lang w:eastAsia="en-GB"/>
        </w:rPr>
        <w:t>5</w:t>
      </w:r>
      <w:r w:rsidR="00B44120" w:rsidRPr="00B44120">
        <w:rPr>
          <w:rFonts w:ascii="Helvetica" w:eastAsia="Times New Roman" w:hAnsi="Helvetica" w:cs="Times New Roman"/>
          <w:sz w:val="22"/>
          <w:lang w:eastAsia="en-GB"/>
        </w:rPr>
        <w:t>. Where a technology has been reported by multiple sources, a median number has been taken.</w:t>
      </w:r>
    </w:p>
    <w:p w14:paraId="4B9839C7" w14:textId="77777777" w:rsidR="002F3960" w:rsidRPr="00B44120" w:rsidRDefault="002F3960" w:rsidP="00B44120">
      <w:pPr>
        <w:tabs>
          <w:tab w:val="left" w:pos="851"/>
        </w:tabs>
        <w:spacing w:before="120" w:line="360" w:lineRule="auto"/>
        <w:rPr>
          <w:rFonts w:ascii="Helvetica" w:eastAsia="Times New Roman" w:hAnsi="Helvetica" w:cs="Times New Roman"/>
          <w:sz w:val="22"/>
          <w:lang w:eastAsia="en-G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506"/>
        <w:gridCol w:w="1717"/>
        <w:gridCol w:w="2048"/>
        <w:gridCol w:w="1654"/>
        <w:gridCol w:w="2095"/>
      </w:tblGrid>
      <w:tr w:rsidR="00B44120" w:rsidRPr="002A6DBD" w14:paraId="3BF66716" w14:textId="77777777">
        <w:trPr>
          <w:cnfStyle w:val="100000000000" w:firstRow="1" w:lastRow="0" w:firstColumn="0" w:lastColumn="0" w:oddVBand="0" w:evenVBand="0" w:oddHBand="0" w:evenHBand="0" w:firstRowFirstColumn="0" w:firstRowLastColumn="0" w:lastRowFirstColumn="0" w:lastRowLastColumn="0"/>
          <w:jc w:val="center"/>
        </w:trPr>
        <w:tc>
          <w:tcPr>
            <w:tcW w:w="1419" w:type="dxa"/>
          </w:tcPr>
          <w:p w14:paraId="29ED5F69" w14:textId="77777777" w:rsidR="00B44120" w:rsidRPr="002A6DBD" w:rsidRDefault="00B44120" w:rsidP="009055C5">
            <w:pPr>
              <w:tabs>
                <w:tab w:val="left" w:pos="851"/>
              </w:tabs>
              <w:spacing w:before="120"/>
              <w:rPr>
                <w:rFonts w:ascii="Helvetica" w:eastAsia="Times New Roman" w:hAnsi="Helvetica"/>
              </w:rPr>
            </w:pPr>
            <w:proofErr w:type="spellStart"/>
            <w:r w:rsidRPr="002A6DBD">
              <w:rPr>
                <w:rFonts w:ascii="Helvetica" w:eastAsia="Times New Roman" w:hAnsi="Helvetica"/>
              </w:rPr>
              <w:t>EoL</w:t>
            </w:r>
            <w:proofErr w:type="spellEnd"/>
            <w:r w:rsidRPr="002A6DBD">
              <w:rPr>
                <w:rFonts w:ascii="Helvetica" w:eastAsia="Times New Roman" w:hAnsi="Helvetica"/>
              </w:rPr>
              <w:t xml:space="preserve"> options</w:t>
            </w:r>
          </w:p>
        </w:tc>
        <w:tc>
          <w:tcPr>
            <w:tcW w:w="7591" w:type="dxa"/>
            <w:gridSpan w:val="4"/>
          </w:tcPr>
          <w:p w14:paraId="12720A00" w14:textId="77777777" w:rsidR="00B44120" w:rsidRPr="002A6DBD" w:rsidRDefault="00B44120" w:rsidP="009055C5">
            <w:pPr>
              <w:tabs>
                <w:tab w:val="left" w:pos="851"/>
              </w:tabs>
              <w:spacing w:before="120"/>
              <w:rPr>
                <w:rFonts w:ascii="Helvetica" w:eastAsia="Times New Roman" w:hAnsi="Helvetica"/>
              </w:rPr>
            </w:pPr>
            <w:r w:rsidRPr="002A6DBD">
              <w:rPr>
                <w:rFonts w:ascii="Helvetica" w:eastAsia="Times New Roman" w:hAnsi="Helvetica"/>
              </w:rPr>
              <w:t>Retained tensile strength of recycled fibre compared to virgin fibre</w:t>
            </w:r>
          </w:p>
        </w:tc>
      </w:tr>
      <w:tr w:rsidR="00B44120" w:rsidRPr="002A6DBD" w14:paraId="22B9E104" w14:textId="77777777">
        <w:trPr>
          <w:jc w:val="center"/>
        </w:trPr>
        <w:tc>
          <w:tcPr>
            <w:tcW w:w="1419" w:type="dxa"/>
          </w:tcPr>
          <w:p w14:paraId="76DD7C99" w14:textId="77777777" w:rsidR="00B44120" w:rsidRPr="002A6DBD" w:rsidRDefault="00B44120" w:rsidP="009055C5">
            <w:pPr>
              <w:tabs>
                <w:tab w:val="left" w:pos="851"/>
              </w:tabs>
              <w:spacing w:before="120"/>
              <w:rPr>
                <w:rFonts w:ascii="Helvetica" w:eastAsia="Times New Roman" w:hAnsi="Helvetica"/>
                <w:sz w:val="20"/>
                <w:szCs w:val="20"/>
              </w:rPr>
            </w:pPr>
          </w:p>
        </w:tc>
        <w:tc>
          <w:tcPr>
            <w:tcW w:w="3801" w:type="dxa"/>
            <w:gridSpan w:val="2"/>
          </w:tcPr>
          <w:p w14:paraId="2A01EFF8"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GF</w:t>
            </w:r>
          </w:p>
        </w:tc>
        <w:tc>
          <w:tcPr>
            <w:tcW w:w="3790" w:type="dxa"/>
            <w:gridSpan w:val="2"/>
          </w:tcPr>
          <w:p w14:paraId="275FD6A3"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CF</w:t>
            </w:r>
          </w:p>
        </w:tc>
      </w:tr>
      <w:tr w:rsidR="00B44120" w:rsidRPr="002A6DBD" w14:paraId="3A679C10" w14:textId="77777777">
        <w:trPr>
          <w:jc w:val="center"/>
        </w:trPr>
        <w:tc>
          <w:tcPr>
            <w:tcW w:w="1419" w:type="dxa"/>
          </w:tcPr>
          <w:p w14:paraId="4FFA19F6"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Mechanical</w:t>
            </w:r>
          </w:p>
        </w:tc>
        <w:tc>
          <w:tcPr>
            <w:tcW w:w="1738" w:type="dxa"/>
          </w:tcPr>
          <w:p w14:paraId="48C2E575"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78%</w:t>
            </w:r>
          </w:p>
        </w:tc>
        <w:tc>
          <w:tcPr>
            <w:tcW w:w="2063" w:type="dxa"/>
          </w:tcPr>
          <w:p w14:paraId="77E99357" w14:textId="77777777" w:rsidR="00B44120" w:rsidRPr="002A6DBD" w:rsidRDefault="00107EB7" w:rsidP="007D5ACA">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A17B85">
              <w:rPr>
                <w:rFonts w:ascii="Helvetica" w:eastAsia="Times New Roman" w:hAnsi="Helvetica"/>
                <w:sz w:val="20"/>
                <w:szCs w:val="20"/>
              </w:rPr>
              <w:instrText>ADDIN CSL_CITATION {"citationItems":[{"id":"ITEM-1","itemData":{"author":[{"dropping-particle":"","family":"Palmer","given":"J.","non-dropping-particle":"","parse-names":false,"suffix":""}],"id":"ITEM-1","issued":{"date-parts":[["2009"]]},"number-of-pages":"110-112","publisher":"University of Exeter","title":"Mechanical recycling of automotive composites for use as reinforcement in thermoset composites","type":"thesis"},"uris":["http://www.mendeley.com/documents/?uuid=35a66172-5bc0-4f0b-a8e7-a55e083e8c4b"]}],"mendeley":{"formattedCitation":"(Palmer, 2009)","plainTextFormattedCitation":"(Palmer, 2009)","previouslyFormattedCitation":"(Palmer, 2009)"},"properties":{"noteIndex":0},"schema":"https://github.com/citation-style-language/schema/raw/master/csl-citation.json"}</w:instrText>
            </w:r>
            <w:r w:rsidRPr="002A6DBD">
              <w:rPr>
                <w:rFonts w:ascii="Helvetica" w:eastAsia="Times New Roman" w:hAnsi="Helvetica"/>
                <w:sz w:val="20"/>
                <w:szCs w:val="20"/>
              </w:rPr>
              <w:fldChar w:fldCharType="separate"/>
            </w:r>
            <w:r w:rsidR="00B27DC5" w:rsidRPr="00B27DC5">
              <w:rPr>
                <w:rFonts w:ascii="Helvetica" w:eastAsia="Times New Roman" w:hAnsi="Helvetica"/>
                <w:noProof/>
                <w:sz w:val="20"/>
                <w:szCs w:val="20"/>
              </w:rPr>
              <w:t>(Palmer, 2009)</w:t>
            </w:r>
            <w:r w:rsidRPr="002A6DBD">
              <w:rPr>
                <w:rFonts w:ascii="Helvetica" w:eastAsia="Times New Roman" w:hAnsi="Helvetica"/>
                <w:sz w:val="20"/>
                <w:szCs w:val="20"/>
              </w:rPr>
              <w:fldChar w:fldCharType="end"/>
            </w:r>
          </w:p>
        </w:tc>
        <w:tc>
          <w:tcPr>
            <w:tcW w:w="1672" w:type="dxa"/>
          </w:tcPr>
          <w:p w14:paraId="56C668A4"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50%*</w:t>
            </w:r>
          </w:p>
        </w:tc>
        <w:tc>
          <w:tcPr>
            <w:tcW w:w="2118" w:type="dxa"/>
          </w:tcPr>
          <w:p w14:paraId="14A9351F" w14:textId="77777777" w:rsidR="00B44120" w:rsidRPr="002A6DBD" w:rsidRDefault="00107EB7" w:rsidP="007D5ACA">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A17B85">
              <w:rPr>
                <w:rFonts w:ascii="Helvetica" w:eastAsia="Times New Roman" w:hAnsi="Helvetica"/>
                <w:sz w:val="20"/>
                <w:szCs w:val="20"/>
              </w:rPr>
              <w:instrText>ADDIN CSL_CITATION {"citationItems":[{"id":"ITEM-1","itemData":{"DOI":"10.1163/156855107780918982","ISBN":"0924-3046","ISSN":"0924-3046","abstract":"Composite materials consisting of crushed carbon fiber reinforced plastics (CFRP) pieces and acrylonitrile-butadiene-styrene (ABS) resin were prepd. by an injection mold method to solve the problem of recycling of CFRP.  The elec. properties, such as elec. resistivity, a.c. impedance and electromagnetic interference (EMI) shielding effect, were measured for the composites.  The elec. resistivity of the composites showed a percolation type of conduction behavior and no difference between parallel and perpendicular to the injection direction was obsd. for CFRP content higher than the crit. value.  Measurement of a.c. impedance revealed that the conduction mechanism is attributed to the direct conductive paths generated by distributed carbon fibers; however, strong frequency dependence of the impedance was obsd. for the CFRP content near the crit. one.  The frequency dependence of the impedance is caused by the inter-fiber connection and can be expressed as a simple equiv. circuit.  The absorption component of shielding effect (SE) was smaller than the expected value estd. from its resistivity.  The decline of SE is thought to be caused by the decrease in effective thickness due to fiber orientation. [on SciFinder(R)]","author":[{"dropping-particle":"","family":"Ogi","given":"Keiji","non-dropping-particle":"","parse-names":false,"suffix":""},{"dropping-particle":"","family":"Nishikawa","given":"Takashi","non-dropping-particle":"","parse-names":false,"suffix":""},{"dropping-particle":"","family":"Okano","given":"Yasutaka","non-dropping-particle":"","parse-names":false,"suffix":""},{"dropping-particle":"","family":"Taketa","given":"Ichiro","non-dropping-particle":"","parse-names":false,"suffix":""}],"container-title":"Advanced Composite Materials","id":"ITEM-1","issue":"2","issued":{"date-parts":[["2007"]]},"page":"181-194","title":"Mechanical properties of ABS resin reinforced with recycled CFRP","type":"article-journal","volume":"16"},"uris":["http://www.mendeley.com/documents/?uuid=f991fb08-98d6-485f-a7a9-afcdb2dc57a3"]}],"mendeley":{"formattedCitation":"(Ogi et al., 2007)","plainTextFormattedCitation":"(Ogi et al., 2007)","previouslyFormattedCitation":"(Ogi et al., 2007)"},"properties":{"noteIndex":0},"schema":"https://github.com/citation-style-language/schema/raw/master/csl-citation.json"}</w:instrText>
            </w:r>
            <w:r w:rsidRPr="002A6DBD">
              <w:rPr>
                <w:rFonts w:ascii="Helvetica" w:eastAsia="Times New Roman" w:hAnsi="Helvetica"/>
                <w:sz w:val="20"/>
                <w:szCs w:val="20"/>
              </w:rPr>
              <w:fldChar w:fldCharType="separate"/>
            </w:r>
            <w:r w:rsidR="00B27DC5" w:rsidRPr="00B27DC5">
              <w:rPr>
                <w:rFonts w:ascii="Helvetica" w:eastAsia="Times New Roman" w:hAnsi="Helvetica"/>
                <w:noProof/>
                <w:sz w:val="20"/>
                <w:szCs w:val="20"/>
              </w:rPr>
              <w:t>(Ogi et al., 2007)</w:t>
            </w:r>
            <w:r w:rsidRPr="002A6DBD">
              <w:rPr>
                <w:rFonts w:ascii="Helvetica" w:eastAsia="Times New Roman" w:hAnsi="Helvetica"/>
                <w:sz w:val="20"/>
                <w:szCs w:val="20"/>
              </w:rPr>
              <w:fldChar w:fldCharType="end"/>
            </w:r>
          </w:p>
        </w:tc>
      </w:tr>
      <w:tr w:rsidR="00B44120" w:rsidRPr="002A6DBD" w14:paraId="5DD54A61" w14:textId="77777777">
        <w:trPr>
          <w:jc w:val="center"/>
        </w:trPr>
        <w:tc>
          <w:tcPr>
            <w:tcW w:w="1419" w:type="dxa"/>
          </w:tcPr>
          <w:p w14:paraId="33DAD553"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Fluidised-bed process</w:t>
            </w:r>
          </w:p>
        </w:tc>
        <w:tc>
          <w:tcPr>
            <w:tcW w:w="1738" w:type="dxa"/>
          </w:tcPr>
          <w:p w14:paraId="6D369DE0"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hint="eastAsia"/>
                <w:sz w:val="20"/>
                <w:szCs w:val="20"/>
              </w:rPr>
              <w:t>50</w:t>
            </w:r>
            <w:r w:rsidRPr="002A6DBD">
              <w:rPr>
                <w:rFonts w:ascii="Helvetica" w:eastAsia="Times New Roman" w:hAnsi="Helvetica"/>
                <w:sz w:val="20"/>
                <w:szCs w:val="20"/>
              </w:rPr>
              <w:t>%</w:t>
            </w:r>
          </w:p>
        </w:tc>
        <w:tc>
          <w:tcPr>
            <w:tcW w:w="2063" w:type="dxa"/>
          </w:tcPr>
          <w:p w14:paraId="63539A93" w14:textId="77777777" w:rsidR="00B44120" w:rsidRPr="002A6DBD" w:rsidRDefault="00107EB7" w:rsidP="007D5ACA">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A17B85">
              <w:rPr>
                <w:rFonts w:ascii="Helvetica" w:eastAsia="Times New Roman" w:hAnsi="Helvetica"/>
                <w:sz w:val="20"/>
                <w:szCs w:val="20"/>
              </w:rPr>
              <w:instrText>ADDIN CSL_CITATION {"citationItems":[{"id":"ITEM-1","itemData":{"author":[{"dropping-particle":"","family":"Pickering","given":"S. J.","non-dropping-particle":"","parse-names":false,"suffix":""},{"dropping-particle":"","family":"Kelly","given":"R M","non-dropping-particle":"","parse-names":false,"suffix":""},{"dropping-particle":"","family":"Kennerley","given":"J R","non-dropping-particle":"","parse-names":false,"suffix":""},{"dropping-particle":"","family":"Rudd","given":"C D","non-dropping-particle":"","parse-names":false,"suffix":""},{"dropping-particle":"","family":"Fenwick","given":"N J","non-dropping-particle":"","parse-names":false,"suffix":""}],"container-title":"Composites Science and Technology","id":"ITEM-1","issue":"4","issued":{"date-parts":[["2000"]]},"page":"509–523","title":"A fluidised-bed process for the recovery of glass fibres from scrap thermoset composites","type":"article-journal","volume":"60"},"uris":["http://www.mendeley.com/documents/?uuid=b61b9781-e694-4a5a-a0f9-b82ceb75535b"]}],"mendeley":{"formattedCitation":"(Pickering et al., 2000)","plainTextFormattedCitation":"(Pickering et al., 2000)","previouslyFormattedCitation":"(Pickering et al., 2000)"},"properties":{"noteIndex":0},"schema":"https://github.com/citation-style-language/schema/raw/master/csl-citation.json"}</w:instrText>
            </w:r>
            <w:r w:rsidRPr="002A6DBD">
              <w:rPr>
                <w:rFonts w:ascii="Helvetica" w:eastAsia="Times New Roman" w:hAnsi="Helvetica"/>
                <w:sz w:val="20"/>
                <w:szCs w:val="20"/>
              </w:rPr>
              <w:fldChar w:fldCharType="separate"/>
            </w:r>
            <w:r w:rsidR="00B27DC5" w:rsidRPr="00B27DC5">
              <w:rPr>
                <w:rFonts w:ascii="Helvetica" w:eastAsia="Times New Roman" w:hAnsi="Helvetica"/>
                <w:noProof/>
                <w:sz w:val="20"/>
                <w:szCs w:val="20"/>
              </w:rPr>
              <w:t>(Pickering et al., 2000)</w:t>
            </w:r>
            <w:r w:rsidRPr="002A6DBD">
              <w:rPr>
                <w:rFonts w:ascii="Helvetica" w:eastAsia="Times New Roman" w:hAnsi="Helvetica"/>
                <w:sz w:val="20"/>
                <w:szCs w:val="20"/>
              </w:rPr>
              <w:fldChar w:fldCharType="end"/>
            </w:r>
          </w:p>
        </w:tc>
        <w:tc>
          <w:tcPr>
            <w:tcW w:w="1672" w:type="dxa"/>
          </w:tcPr>
          <w:p w14:paraId="195DF184"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75%</w:t>
            </w:r>
          </w:p>
        </w:tc>
        <w:tc>
          <w:tcPr>
            <w:tcW w:w="2118" w:type="dxa"/>
          </w:tcPr>
          <w:p w14:paraId="44070EF3" w14:textId="77777777" w:rsidR="00B44120" w:rsidRPr="002A6DBD" w:rsidRDefault="00107EB7" w:rsidP="007D5ACA">
            <w:pPr>
              <w:tabs>
                <w:tab w:val="left" w:pos="851"/>
              </w:tabs>
              <w:spacing w:before="120"/>
              <w:rPr>
                <w:rFonts w:ascii="Helvetica" w:eastAsia="Times New Roman" w:hAnsi="Helvetica"/>
                <w:sz w:val="20"/>
                <w:szCs w:val="20"/>
                <w:lang w:eastAsia="zh-CN"/>
              </w:rPr>
            </w:pPr>
            <w:r w:rsidRPr="002A6DBD">
              <w:rPr>
                <w:rFonts w:ascii="Helvetica" w:eastAsia="Times New Roman" w:hAnsi="Helvetica"/>
                <w:sz w:val="20"/>
                <w:szCs w:val="20"/>
              </w:rPr>
              <w:fldChar w:fldCharType="begin" w:fldLock="1"/>
            </w:r>
            <w:r w:rsidR="00A17B85">
              <w:rPr>
                <w:rFonts w:ascii="Helvetica" w:eastAsia="Times New Roman" w:hAnsi="Helvetica"/>
                <w:sz w:val="20"/>
                <w:szCs w:val="20"/>
              </w:rPr>
              <w:instrText>ADDIN CSL_CITATION {"citationItems":[{"id":"ITEM-1","itemData":{"DOI":"10.1179/146580102225003047","ISBN":"1465801022","ISSN":"1465-8011","abstract":"AbstractA carbon fibre recycling process for scrap composites based on fluidised bed technology has been developed. This paper describes the recycling process and the characterisation methods used to analyse the quality of recycled fibre. They include: the measurement of fibre length distribution by image analysis; tensile properties by single fibre testing; and the examination of surface contamination and surface chemistry of fibre by SEM and XPS. Recycled fibres of up to 10 mm mean length were recovered and they retained ~75% of their tensile strength, while the Young's modulus remained unchanged and the surface condition was similar to the virgin fibre.","author":[{"dropping-particle":"","family":"Yip","given":"H. L. H.","non-dropping-particle":"","parse-names":false,"suffix":""},{"dropping-particle":"","family":"Pickering","given":"S. J.","non-dropping-particle":"","parse-names":false,"suffix":""},{"dropping-particle":"","family":"Rudd","given":"C. D.","non-dropping-particle":"","parse-names":false,"suffix":""}],"container-title":"Plastics, Rubber and Composites","id":"ITEM-1","issue":"6","issued":{"date-parts":[["2002"]]},"page":"278-282","title":"Characterisation of carbon fibres recycled from scrap composites using fluidised bed process","type":"article-journal","volume":"31"},"uris":["http://www.mendeley.com/documents/?uuid=2b8d8b84-b4fc-4ce0-b478-3efc0fc69b99"]},{"id":"ITEM-2","itemData":{"DOI":"10.1016/j.materresbull.2004.04.031","ISBN":"4411595141","ISSN":"00255408","author":[{"dropping-particle":"","family":"Lester","given":"Edward","non-dropping-particle":"","parse-names":false,"suffix":""},{"dropping-particle":"","family":"Kingman","given":"Sam","non-dropping-particle":"","parse-names":false,"suffix":""},{"dropping-particle":"","family":"Wong","given":"Kok Hoong","non-dropping-particle":"","parse-names":false,"suffix":""},{"dropping-particle":"","family":"Rudd","given":"Chris","non-dropping-particle":"","parse-names":false,"suffix":""},{"dropping-particle":"","family":"Pickering","given":"Stephen","non-dropping-particle":"","parse-names":false,"suffix":""},{"dropping-particle":"","family":"Hilal","given":"Nidal","non-dropping-particle":"","parse-names":false,"suffix":""}],"container-title":"Materials Research Bulletin","id":"ITEM-2","issue":"10","issued":{"date-parts":[["2004","8"]]},"page":"1549-1556","title":"Microwave heating as a means for carbon fibre recovery from polymer composites: a technical feasibility study","type":"article-journal","volume":"39"},"uris":["http://www.mendeley.com/documents/?uuid=ca9d8199-f0ab-4135-bbb6-fcead538de6b"]}],"mendeley":{"formattedCitation":"(Lester et al., 2004; Yip et al., 2002)","plainTextFormattedCitation":"(Lester et al., 2004; Yip et al., 2002)","previouslyFormattedCitation":"(Lester et al., 2004; Yip et al., 2002)"},"properties":{"noteIndex":0},"schema":"https://github.com/citation-style-language/schema/raw/master/csl-citation.json"}</w:instrText>
            </w:r>
            <w:r w:rsidRPr="002A6DBD">
              <w:rPr>
                <w:rFonts w:ascii="Helvetica" w:eastAsia="Times New Roman" w:hAnsi="Helvetica"/>
                <w:sz w:val="20"/>
                <w:szCs w:val="20"/>
              </w:rPr>
              <w:fldChar w:fldCharType="separate"/>
            </w:r>
            <w:r w:rsidR="00B27DC5" w:rsidRPr="00B27DC5">
              <w:rPr>
                <w:rFonts w:ascii="Helvetica" w:eastAsia="Times New Roman" w:hAnsi="Helvetica"/>
                <w:noProof/>
                <w:sz w:val="20"/>
                <w:szCs w:val="20"/>
                <w:lang w:eastAsia="zh-CN"/>
              </w:rPr>
              <w:t>(Lester et al., 2004; Yip et al., 2002)</w:t>
            </w:r>
            <w:r w:rsidRPr="002A6DBD">
              <w:rPr>
                <w:rFonts w:ascii="Helvetica" w:eastAsia="Times New Roman" w:hAnsi="Helvetica"/>
                <w:sz w:val="20"/>
                <w:szCs w:val="20"/>
              </w:rPr>
              <w:fldChar w:fldCharType="end"/>
            </w:r>
          </w:p>
        </w:tc>
      </w:tr>
      <w:tr w:rsidR="00B44120" w:rsidRPr="002A6DBD" w14:paraId="717194BD" w14:textId="77777777">
        <w:trPr>
          <w:jc w:val="center"/>
        </w:trPr>
        <w:tc>
          <w:tcPr>
            <w:tcW w:w="1419" w:type="dxa"/>
          </w:tcPr>
          <w:p w14:paraId="5A935DBA" w14:textId="77777777" w:rsidR="00B44120" w:rsidRPr="002A6DBD" w:rsidRDefault="00B44120" w:rsidP="009055C5">
            <w:pPr>
              <w:tabs>
                <w:tab w:val="left" w:pos="851"/>
              </w:tabs>
              <w:spacing w:before="120"/>
              <w:rPr>
                <w:rFonts w:ascii="Helvetica" w:eastAsia="Times New Roman" w:hAnsi="Helvetica"/>
                <w:sz w:val="20"/>
                <w:szCs w:val="20"/>
                <w:lang w:eastAsia="zh-CN"/>
              </w:rPr>
            </w:pPr>
            <w:r w:rsidRPr="002A6DBD">
              <w:rPr>
                <w:rFonts w:ascii="Helvetica" w:eastAsia="Times New Roman" w:hAnsi="Helvetica"/>
                <w:sz w:val="20"/>
                <w:szCs w:val="20"/>
                <w:lang w:eastAsia="zh-CN"/>
              </w:rPr>
              <w:t>Pyrolysis</w:t>
            </w:r>
          </w:p>
        </w:tc>
        <w:tc>
          <w:tcPr>
            <w:tcW w:w="1738" w:type="dxa"/>
          </w:tcPr>
          <w:p w14:paraId="627F9763" w14:textId="77777777" w:rsidR="00B44120" w:rsidRPr="002A6DBD" w:rsidRDefault="00B44120" w:rsidP="009055C5">
            <w:pPr>
              <w:tabs>
                <w:tab w:val="left" w:pos="851"/>
              </w:tabs>
              <w:spacing w:before="120"/>
              <w:rPr>
                <w:rFonts w:ascii="Helvetica" w:eastAsia="Times New Roman" w:hAnsi="Helvetica"/>
                <w:sz w:val="20"/>
                <w:szCs w:val="20"/>
                <w:lang w:eastAsia="zh-CN"/>
              </w:rPr>
            </w:pPr>
            <w:r w:rsidRPr="002A6DBD">
              <w:rPr>
                <w:rFonts w:ascii="Helvetica" w:eastAsia="Times New Roman" w:hAnsi="Helvetica"/>
                <w:sz w:val="20"/>
                <w:szCs w:val="20"/>
                <w:lang w:eastAsia="zh-CN"/>
              </w:rPr>
              <w:t>52%</w:t>
            </w:r>
          </w:p>
        </w:tc>
        <w:tc>
          <w:tcPr>
            <w:tcW w:w="2063" w:type="dxa"/>
          </w:tcPr>
          <w:p w14:paraId="53DFA39B" w14:textId="77777777" w:rsidR="00B44120" w:rsidRPr="002A6DBD" w:rsidRDefault="00107EB7" w:rsidP="007D5ACA">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A17B85">
              <w:rPr>
                <w:rFonts w:ascii="Helvetica" w:eastAsia="Times New Roman" w:hAnsi="Helvetica"/>
                <w:sz w:val="20"/>
                <w:szCs w:val="20"/>
                <w:lang w:eastAsia="zh-CN"/>
              </w:rPr>
              <w:instrText>ADDIN CSL_CITATION {"citationItems":[{"id":"ITEM-1","itemData":{"DOI":"10.1080/09593330309385599","ISSN":"0959-3330","PMID":"12803257","abstract":"Several different composite plastics were pyrolysed in a fixed bed reactor at final temperatures between 350 and 800 degrees C. The composites studied were polyester, phenolic, epoxy, vinylester, polypropylene and PET resins, reinforced with glass and/or carbon fibre. The product yields of oil gas and solid residue were determined together with a detailed composition of the derived gases. There was evidence to suggest that calcium carbonate filler, present in the polyester and phenolic composites, decomposed to form carbon dioxide at 800 degrees C, which was subsequently involved in char gasification reactions. Polyester, phenolic and epoxy composites generated highly aromatic, oxygenated condensable products. There was no noticeable correlation between the composition of these products and the final pyrolysis temperature. The tensile strength of recovered glass fibre was lower than that of virgin fibre and decreased markedly as the final pyrolysis temperature increased from 650 to 800 degrees C.","author":[{"dropping-particle":"","family":"Cunliffe","given":"Adrian M","non-dropping-particle":"","parse-names":false,"suffix":""},{"dropping-particle":"","family":"Jones","given":"N","non-dropping-particle":"","parse-names":false,"suffix":""},{"dropping-particle":"","family":"Williams","given":"P T","non-dropping-particle":"","parse-names":false,"suffix":""}],"container-title":"Environmental technology","id":"ITEM-1","issue":"5","issued":{"date-parts":[["2003"]]},"page":"653-663","title":"Pyrolysis of composite plastic waste","type":"article-journal","volume":"24"},"uris":["http://www.mendeley.com/documents/?uuid=0ab67573-eadc-473f-b30e-aaacd145d521"]}],"mendeley":{"formattedCitation":"(Cunliffe et al., 2003)","plainTextFormattedCitation":"(Cunliffe et al., 2003)","previouslyFormattedCitation":"(Cunliffe et al., 2003)"},"properties":{"noteIndex":0},"schema":"https://github.com/citation-style-language/schema/raw/master/csl-citation.json"}</w:instrText>
            </w:r>
            <w:r w:rsidRPr="002A6DBD">
              <w:rPr>
                <w:rFonts w:ascii="Helvetica" w:eastAsia="Times New Roman" w:hAnsi="Helvetica"/>
                <w:sz w:val="20"/>
                <w:szCs w:val="20"/>
              </w:rPr>
              <w:fldChar w:fldCharType="separate"/>
            </w:r>
            <w:r w:rsidR="00B27DC5" w:rsidRPr="00B27DC5">
              <w:rPr>
                <w:rFonts w:ascii="Helvetica" w:eastAsia="Times New Roman" w:hAnsi="Helvetica"/>
                <w:noProof/>
                <w:sz w:val="20"/>
                <w:szCs w:val="20"/>
              </w:rPr>
              <w:t>(Cunliffe et al., 2003)</w:t>
            </w:r>
            <w:r w:rsidRPr="002A6DBD">
              <w:rPr>
                <w:rFonts w:ascii="Helvetica" w:eastAsia="Times New Roman" w:hAnsi="Helvetica"/>
                <w:sz w:val="20"/>
                <w:szCs w:val="20"/>
              </w:rPr>
              <w:fldChar w:fldCharType="end"/>
            </w:r>
          </w:p>
        </w:tc>
        <w:tc>
          <w:tcPr>
            <w:tcW w:w="1672" w:type="dxa"/>
          </w:tcPr>
          <w:p w14:paraId="459447B3" w14:textId="77777777" w:rsidR="00B44120" w:rsidRPr="002A6DBD" w:rsidRDefault="00B44120" w:rsidP="009055C5">
            <w:pPr>
              <w:tabs>
                <w:tab w:val="left" w:pos="851"/>
              </w:tabs>
              <w:spacing w:before="120"/>
              <w:rPr>
                <w:rFonts w:ascii="Helvetica" w:eastAsia="Times New Roman" w:hAnsi="Helvetica"/>
                <w:sz w:val="20"/>
                <w:szCs w:val="20"/>
              </w:rPr>
            </w:pPr>
            <w:r w:rsidRPr="002A6DBD">
              <w:rPr>
                <w:rFonts w:ascii="Helvetica" w:eastAsia="Times New Roman" w:hAnsi="Helvetica" w:hint="eastAsia"/>
                <w:sz w:val="20"/>
                <w:szCs w:val="20"/>
              </w:rPr>
              <w:t>78</w:t>
            </w:r>
            <w:r w:rsidRPr="002A6DBD">
              <w:rPr>
                <w:rFonts w:ascii="Helvetica" w:eastAsia="Times New Roman" w:hAnsi="Helvetica"/>
                <w:sz w:val="20"/>
                <w:szCs w:val="20"/>
              </w:rPr>
              <w:t>%</w:t>
            </w:r>
          </w:p>
        </w:tc>
        <w:tc>
          <w:tcPr>
            <w:tcW w:w="2118" w:type="dxa"/>
          </w:tcPr>
          <w:p w14:paraId="648F886C" w14:textId="77777777" w:rsidR="00B44120" w:rsidRPr="002A6DBD" w:rsidRDefault="00107EB7" w:rsidP="007D5ACA">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A17B85">
              <w:rPr>
                <w:rFonts w:ascii="Helvetica" w:eastAsia="Times New Roman" w:hAnsi="Helvetica"/>
                <w:sz w:val="20"/>
                <w:szCs w:val="20"/>
              </w:rPr>
              <w:instrText>ADDIN CSL_CITATION {"citationItems":[{"id":"ITEM-1","itemData":{"DOI":"10.1179/1743967113Z.00000000066","ISBN":"4528334216","ISSN":"17439671","author":[{"dropping-particle":"","family":"Onwudili","given":"J A","non-dropping-particle":"","parse-names":false,"suffix":""},{"dropping-particle":"","family":"Insura","given":"N","non-dropping-particle":"","parse-names":false,"suffix":""},{"dropping-particle":"","family":"Williams","given":"Paul T","non-dropping-particle":"","parse-names":false,"suffix":""}],"container-title":"Journal of the Energy Institute","id":"ITEM-1","issue":"4","issued":{"date-parts":[["2013"]]},"page":"227-232","title":"Autoclave pyrolysis of carbon reinforced composite plastic waste for carbon fibre and chemicals recovery","type":"article-journal","volume":"86"},"uris":["http://www.mendeley.com/documents/?uuid=4c4a8d88-5e24-4e40-a6c4-7fcb5eaa4e83"]}],"mendeley":{"formattedCitation":"(Onwudili et al., 2013)","plainTextFormattedCitation":"(Onwudili et al., 2013)","previouslyFormattedCitation":"(Onwudili et al., 2013)"},"properties":{"noteIndex":0},"schema":"https://github.com/citation-style-language/schema/raw/master/csl-citation.json"}</w:instrText>
            </w:r>
            <w:r w:rsidRPr="002A6DBD">
              <w:rPr>
                <w:rFonts w:ascii="Helvetica" w:eastAsia="Times New Roman" w:hAnsi="Helvetica"/>
                <w:sz w:val="20"/>
                <w:szCs w:val="20"/>
              </w:rPr>
              <w:fldChar w:fldCharType="separate"/>
            </w:r>
            <w:r w:rsidR="00B27DC5" w:rsidRPr="00B27DC5">
              <w:rPr>
                <w:rFonts w:ascii="Helvetica" w:eastAsia="Times New Roman" w:hAnsi="Helvetica"/>
                <w:noProof/>
                <w:sz w:val="20"/>
                <w:szCs w:val="20"/>
              </w:rPr>
              <w:t>(Onwudili et al., 2013)</w:t>
            </w:r>
            <w:r w:rsidRPr="002A6DBD">
              <w:rPr>
                <w:rFonts w:ascii="Helvetica" w:eastAsia="Times New Roman" w:hAnsi="Helvetica"/>
                <w:sz w:val="20"/>
                <w:szCs w:val="20"/>
              </w:rPr>
              <w:fldChar w:fldCharType="end"/>
            </w:r>
          </w:p>
        </w:tc>
      </w:tr>
      <w:tr w:rsidR="005F3D6F" w:rsidRPr="002A6DBD" w14:paraId="13094F25" w14:textId="77777777">
        <w:trPr>
          <w:jc w:val="center"/>
        </w:trPr>
        <w:tc>
          <w:tcPr>
            <w:tcW w:w="1419" w:type="dxa"/>
          </w:tcPr>
          <w:p w14:paraId="2D63FA04" w14:textId="77777777" w:rsidR="005F3D6F" w:rsidRPr="002A6DBD" w:rsidRDefault="005F3D6F" w:rsidP="005F3D6F">
            <w:pPr>
              <w:tabs>
                <w:tab w:val="left" w:pos="851"/>
              </w:tabs>
              <w:spacing w:before="120"/>
              <w:rPr>
                <w:rFonts w:ascii="Helvetica" w:eastAsia="Times New Roman" w:hAnsi="Helvetica"/>
                <w:sz w:val="20"/>
                <w:szCs w:val="20"/>
              </w:rPr>
            </w:pPr>
            <w:r w:rsidRPr="005F3D6F">
              <w:rPr>
                <w:rFonts w:ascii="Helvetica" w:eastAsia="Times New Roman" w:hAnsi="Helvetica"/>
                <w:sz w:val="20"/>
                <w:szCs w:val="20"/>
                <w:lang w:eastAsia="zh-CN"/>
              </w:rPr>
              <w:t>Microwave Assisted Pyrolysis</w:t>
            </w:r>
          </w:p>
        </w:tc>
        <w:tc>
          <w:tcPr>
            <w:tcW w:w="1738" w:type="dxa"/>
          </w:tcPr>
          <w:p w14:paraId="6F7B3FE5" w14:textId="77777777" w:rsidR="005F3D6F" w:rsidRPr="002A6DBD" w:rsidRDefault="005F3D6F"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52%**</w:t>
            </w:r>
          </w:p>
        </w:tc>
        <w:tc>
          <w:tcPr>
            <w:tcW w:w="2063" w:type="dxa"/>
          </w:tcPr>
          <w:p w14:paraId="664F293A" w14:textId="77777777" w:rsidR="005F3D6F" w:rsidRPr="002A6DBD" w:rsidRDefault="005F3D6F"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n/a</w:t>
            </w:r>
          </w:p>
        </w:tc>
        <w:tc>
          <w:tcPr>
            <w:tcW w:w="1672" w:type="dxa"/>
          </w:tcPr>
          <w:p w14:paraId="05ED8BC9" w14:textId="77777777" w:rsidR="005F3D6F" w:rsidRPr="002A6DBD" w:rsidRDefault="005F3D6F"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8</w:t>
            </w:r>
            <w:r w:rsidRPr="002A6DBD">
              <w:rPr>
                <w:rFonts w:ascii="Helvetica" w:eastAsia="Times New Roman" w:hAnsi="Helvetica" w:hint="eastAsia"/>
                <w:sz w:val="20"/>
                <w:szCs w:val="20"/>
              </w:rPr>
              <w:t>0</w:t>
            </w:r>
            <w:r w:rsidRPr="002A6DBD">
              <w:rPr>
                <w:rFonts w:ascii="Helvetica" w:eastAsia="Times New Roman" w:hAnsi="Helvetica"/>
                <w:sz w:val="20"/>
                <w:szCs w:val="20"/>
              </w:rPr>
              <w:t>%</w:t>
            </w:r>
          </w:p>
        </w:tc>
        <w:tc>
          <w:tcPr>
            <w:tcW w:w="2118" w:type="dxa"/>
          </w:tcPr>
          <w:p w14:paraId="05185F36" w14:textId="77777777" w:rsidR="005F3D6F" w:rsidRPr="002A6DBD" w:rsidRDefault="00107EB7"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5F3D6F">
              <w:rPr>
                <w:rFonts w:ascii="Helvetica" w:eastAsia="Times New Roman" w:hAnsi="Helvetica"/>
                <w:sz w:val="20"/>
                <w:szCs w:val="20"/>
              </w:rPr>
              <w:instrText>ADDIN CSL_CITATION {"citationItems":[{"id":"ITEM-1","itemData":{"DOI":"10.1016/j.materresbull.2004.04.031","ISBN":"4411595141","ISSN":"00255408","author":[{"dropping-particle":"","family":"Lester","given":"Edward","non-dropping-particle":"","parse-names":false,"suffix":""},{"dropping-particle":"","family":"Kingman","given":"Sam","non-dropping-particle":"","parse-names":false,"suffix":""},{"dropping-particle":"","family":"Wong","given":"Kok Hoong","non-dropping-particle":"","parse-names":false,"suffix":""},{"dropping-particle":"","family":"Rudd","given":"Chris","non-dropping-particle":"","parse-names":false,"suffix":""},{"dropping-particle":"","family":"Pickering","given":"Stephen","non-dropping-particle":"","parse-names":false,"suffix":""},{"dropping-particle":"","family":"Hilal","given":"Nidal","non-dropping-particle":"","parse-names":false,"suffix":""}],"container-title":"Materials Research Bulletin","id":"ITEM-1","issue":"10","issued":{"date-parts":[["2004","8"]]},"page":"1549-1556","title":"Microwave heating as a means for carbon fibre recovery from polymer composites: a technical feasibility study","type":"article-journal","volume":"39"},"uris":["http://www.mendeley.com/documents/?uuid=ca9d8199-f0ab-4135-bbb6-fcead538de6b"]}],"mendeley":{"formattedCitation":"(Lester et al., 2004)","plainTextFormattedCitation":"(Lester et al., 2004)","previouslyFormattedCitation":"(Lester et al., 2004)"},"properties":{"noteIndex":0},"schema":"https://github.com/citation-style-language/schema/raw/master/csl-citation.json"}</w:instrText>
            </w:r>
            <w:r w:rsidRPr="002A6DBD">
              <w:rPr>
                <w:rFonts w:ascii="Helvetica" w:eastAsia="Times New Roman" w:hAnsi="Helvetica"/>
                <w:sz w:val="20"/>
                <w:szCs w:val="20"/>
              </w:rPr>
              <w:fldChar w:fldCharType="separate"/>
            </w:r>
            <w:r w:rsidR="005F3D6F" w:rsidRPr="00B27DC5">
              <w:rPr>
                <w:rFonts w:ascii="Helvetica" w:eastAsia="Times New Roman" w:hAnsi="Helvetica"/>
                <w:noProof/>
                <w:sz w:val="20"/>
                <w:szCs w:val="20"/>
              </w:rPr>
              <w:t>(Lester et al., 2004)</w:t>
            </w:r>
            <w:r w:rsidRPr="002A6DBD">
              <w:rPr>
                <w:rFonts w:ascii="Helvetica" w:eastAsia="Times New Roman" w:hAnsi="Helvetica"/>
                <w:sz w:val="20"/>
                <w:szCs w:val="20"/>
              </w:rPr>
              <w:fldChar w:fldCharType="end"/>
            </w:r>
          </w:p>
        </w:tc>
      </w:tr>
      <w:tr w:rsidR="005F3D6F" w:rsidRPr="002A6DBD" w14:paraId="04C9AAC1" w14:textId="77777777">
        <w:trPr>
          <w:jc w:val="center"/>
        </w:trPr>
        <w:tc>
          <w:tcPr>
            <w:tcW w:w="1419" w:type="dxa"/>
          </w:tcPr>
          <w:p w14:paraId="672DFE94" w14:textId="77777777" w:rsidR="005F3D6F" w:rsidRPr="002A6DBD" w:rsidRDefault="005F3D6F"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Chemical</w:t>
            </w:r>
          </w:p>
        </w:tc>
        <w:tc>
          <w:tcPr>
            <w:tcW w:w="1738" w:type="dxa"/>
          </w:tcPr>
          <w:p w14:paraId="6A8C602F" w14:textId="77777777" w:rsidR="005F3D6F" w:rsidRPr="002A6DBD" w:rsidRDefault="005F3D6F" w:rsidP="005F3D6F">
            <w:pPr>
              <w:tabs>
                <w:tab w:val="left" w:pos="851"/>
              </w:tabs>
              <w:spacing w:before="120"/>
              <w:rPr>
                <w:rFonts w:ascii="Helvetica" w:eastAsia="Times New Roman" w:hAnsi="Helvetica"/>
                <w:sz w:val="20"/>
                <w:szCs w:val="20"/>
              </w:rPr>
            </w:pPr>
            <w:r w:rsidRPr="002A6DBD">
              <w:rPr>
                <w:rFonts w:ascii="Helvetica" w:eastAsia="Times New Roman" w:hAnsi="Helvetica" w:hint="eastAsia"/>
                <w:sz w:val="20"/>
                <w:szCs w:val="20"/>
              </w:rPr>
              <w:t>58</w:t>
            </w:r>
            <w:r w:rsidRPr="002A6DBD">
              <w:rPr>
                <w:rFonts w:ascii="Helvetica" w:eastAsia="Times New Roman" w:hAnsi="Helvetica"/>
                <w:sz w:val="20"/>
                <w:szCs w:val="20"/>
              </w:rPr>
              <w:t>%</w:t>
            </w:r>
          </w:p>
        </w:tc>
        <w:tc>
          <w:tcPr>
            <w:tcW w:w="2063" w:type="dxa"/>
          </w:tcPr>
          <w:p w14:paraId="2652E4E9" w14:textId="77777777" w:rsidR="005F3D6F" w:rsidRPr="002A6DBD" w:rsidRDefault="00107EB7"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5F3D6F">
              <w:rPr>
                <w:rFonts w:ascii="Helvetica" w:eastAsia="Times New Roman" w:hAnsi="Helvetica"/>
                <w:sz w:val="20"/>
                <w:szCs w:val="20"/>
              </w:rPr>
              <w:instrText>ADDIN CSL_CITATION {"citationItems":[{"id":"ITEM-1","itemData":{"DOI":"10.1016/j.compositesa.2011.11.011","ISSN":"1359835X","author":[{"dropping-particle":"","family":"Kao","given":"C.C.","non-dropping-particle":"","parse-names":false,"suffix":""},{"dropping-particle":"","family":"Ghita","given":"O.R.","non-dropping-particle":"","parse-names":false,"suffix":""},{"dropping-particle":"","family":"Hallam","given":"K.R.","non-dropping-particle":"","parse-names":false,"suffix":""},{"dropping-particle":"","family":"Heard","given":"P.J.","non-dropping-particle":"","parse-names":false,"suffix":""},{"dropping-particle":"","family":"Evans","given":"K.E.","non-dropping-particle":"","parse-names":false,"suffix":""}],"container-title":"Composites Part A: Applied Science and Manufacturing","id":"ITEM-1","issue":"3","issued":{"date-parts":[["2012","3"]]},"page":"398-406","publisher":"Elsevier Ltd","title":"Mechanical studies of single glass fibres recycled from hydrolysis process using sub-critical water","type":"article-journal","volume":"43"},"uris":["http://www.mendeley.com/documents/?uuid=34c9b3d2-9440-4929-8f3e-5a483d8f4dac"]},{"id":"ITEM-2","itemData":{"DOI":"10.1016/j.compositesa.2012.06.008","ISSN":"1359835X","abstract":"A hydrolysis process is applied to degrade an unsaturated polyester resin based on DCPD (dicyclopentadiene) and crosslinked with styrene, as the matrix of a composite material reinforced with long glass fibres. Subcritical conditions of water (200°C&lt;temperature&lt;374°C and pressure&lt;221bars) were chosen regarding the involved chemistry for the case of simple esters. Several experiments were realised to measure the effects of the process parameters on the efficiency of hydrolysis, on the quality of the recovered fibres and finally on the nature of the recovered organic products. A washing of the fibres is necessary and appears to be an important step of the process realised in batch conditions. The identification of the recovered organic products indicates that monomers of the resin are obtained but also that secondary reactions occur during the hydrolysis process.","author":[{"dropping-particle":"","family":"Oliveux","given":"Géraldine","non-dropping-particle":"","parse-names":false,"suffix":""},{"dropping-particle":"","family":"Bailleul","given":"Jean-Luc","non-dropping-particle":"","parse-names":false,"suffix":""},{"dropping-particle":"La","family":"Salle","given":"Eric Le Gal","non-dropping-particle":"","parse-names":false,"suffix":""}],"container-title":"Composites Part A: Applied Science and Manufacturing","id":"ITEM-2","issued":{"date-parts":[["2012"]]},"page":"1809-1818","title":"Chemical recycling of glass fibre reinforced composites using subcritical water","type":"article-journal","volume":"43"},"uris":["http://www.mendeley.com/documents/?uuid=54a05e51-eb1e-4ad1-a20c-6b44ba80cd62"]},{"id":"ITEM-3","itemData":{"author":[{"dropping-particle":"","family":"Shyng","given":"Y.T.","non-dropping-particle":"","parse-names":false,"suffix":""},{"dropping-particle":"","family":"Ghita","given":"O.","non-dropping-particle":"","parse-names":false,"suffix":""}],"container-title":"the 19Th International Conference on Composite Materials","id":"ITEM-3","issued":{"date-parts":[["2013"]]},"publisher-place":"Montreal, Canada","title":"Fragmentation analysis of glass fibres recovered from hydrolysis processes","type":"paper-conference"},"uris":["http://www.mendeley.com/documents/?uuid=e2c9dd54-7a1b-499c-b704-6a367dc95037"]}],"mendeley":{"formattedCitation":"(Kao et al., 2012; Oliveux et al., 2012; Shyng and Ghita, 2013)","plainTextFormattedCitation":"(Kao et al., 2012; Oliveux et al., 2012; Shyng and Ghita, 2013)","previouslyFormattedCitation":"(Kao et al., 2012; Oliveux et al., 2012; Shyng and Ghita, 2013)"},"properties":{"noteIndex":0},"schema":"https://github.com/citation-style-language/schema/raw/master/csl-citation.json"}</w:instrText>
            </w:r>
            <w:r w:rsidRPr="002A6DBD">
              <w:rPr>
                <w:rFonts w:ascii="Helvetica" w:eastAsia="Times New Roman" w:hAnsi="Helvetica"/>
                <w:sz w:val="20"/>
                <w:szCs w:val="20"/>
              </w:rPr>
              <w:fldChar w:fldCharType="separate"/>
            </w:r>
            <w:r w:rsidR="005F3D6F" w:rsidRPr="00B27DC5">
              <w:rPr>
                <w:rFonts w:ascii="Helvetica" w:eastAsia="Times New Roman" w:hAnsi="Helvetica"/>
                <w:noProof/>
                <w:sz w:val="20"/>
                <w:szCs w:val="20"/>
              </w:rPr>
              <w:t>(Kao et al., 2012; Oliveux et al., 2012; Shyng and Ghita, 2013)</w:t>
            </w:r>
            <w:r w:rsidRPr="002A6DBD">
              <w:rPr>
                <w:rFonts w:ascii="Helvetica" w:eastAsia="Times New Roman" w:hAnsi="Helvetica"/>
                <w:sz w:val="20"/>
                <w:szCs w:val="20"/>
              </w:rPr>
              <w:fldChar w:fldCharType="end"/>
            </w:r>
          </w:p>
        </w:tc>
        <w:tc>
          <w:tcPr>
            <w:tcW w:w="1672" w:type="dxa"/>
          </w:tcPr>
          <w:p w14:paraId="55247F75" w14:textId="77777777" w:rsidR="005F3D6F" w:rsidRPr="002A6DBD" w:rsidRDefault="005F3D6F"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95%</w:t>
            </w:r>
          </w:p>
        </w:tc>
        <w:tc>
          <w:tcPr>
            <w:tcW w:w="2118" w:type="dxa"/>
          </w:tcPr>
          <w:p w14:paraId="743A89E9" w14:textId="77777777" w:rsidR="005F3D6F" w:rsidRPr="002A6DBD" w:rsidRDefault="00107EB7"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5F3D6F">
              <w:rPr>
                <w:rFonts w:ascii="Helvetica" w:eastAsia="Times New Roman" w:hAnsi="Helvetica"/>
                <w:sz w:val="20"/>
                <w:szCs w:val="20"/>
              </w:rPr>
              <w:instrText>ADDIN CSL_CITATION {"citationItems":[{"id":"ITEM-1","itemData":{"abstract":"In order to establish the recycling technique of carbon fiber reinforced plastic (CFRP), we determined the optimum conditions to decompose thermosetting epoxy resin used as matrix resin of CFRP by supercritical methanol. This solvent without catalyst could decompose and solubilize the epoxy resin at 250-350oC and 10MPa for 5-120min of reaction time. The crosslinked structure of the epoxy resin was cleaved selectively and the uncured resin dissolved in supercritical methanol above 270oC within 1h. When the reaction temperature decreased to 250oC, it took 2h to decompose and dissolve whole epoxy resin in supercritical methanol. MALDI-TOF/MS analysis of the decomposed and methanol-soluble product indicated that the main chain of the epoxy resin did not decompose and the ester bond cleaved selectively. When CFRP was decomposed using semi-flow type reactor, the recovered carbon fiber had no heat damage and maintained the shape of the plain fabric. On the other hand, the matrix resin was solubilized in methanol and did not remain on the surface of the carbon fiber. Keywords","author":[{"dropping-particle":"","family":"Okajima","given":"Idzumi","non-dropping-particle":"","parse-names":false,"suffix":""},{"dropping-particle":"","family":"Watanabe","given":"Kaori","non-dropping-particle":"","parse-names":false,"suffix":""},{"dropping-particle":"","family":"Sako","given":"Takeshi","non-dropping-particle":"","parse-names":false,"suffix":""}],"container-title":"Journal of Advanced Research in Physics","id":"ITEM-1","issue":"2","issued":{"date-parts":[["2012"]]},"page":"1-4","title":"Chemical Recycling of Carbon Fiber Reinforced Plastic with Supercritical Alcohol","type":"article-journal","volume":"3"},"uris":["http://www.mendeley.com/documents/?uuid=02911fda-5636-472e-9a4d-bb1330701b33"]},{"id":"ITEM-2","itemData":{"DOI":"10.1016/j.msea.2009.05.030","ISBN":"0921-5093","ISSN":"09215093","abstract":"In this paper, a method of chemical recycling of thermosetting epoxy composite was discussed. Water was used to be reaction medium and the decomposition of carbon fibre reinforced epoxy composites was studied. Experiments were devised in order to identify the significant process parameters that affect fibre reinforced composite recovery potential including temperature, time, catalyst, feedstock, and pressure. Experiments were performed in a batch-type reactor without stirring. Under the condition that the temperature was 260 ??C and the ratio of resin and water was 1:5 g/mL, the decomposition rate could reach 100 wt.% and the carbon fibres were obtained. The results from the Scanning Electron Microscopy (SEM) and Atomic Force Microscope (AFM) measurements showed that the fibres were clean and no cracks or defects were found. The average tensile strength of the reclaimed fibres was about 98.2% than that of the virgin fibres. ?? 2009 Elsevier B.V. All rights reserved.","author":[{"dropping-particle":"","family":"Liu","given":"Yuyan","non-dropping-particle":"","parse-names":false,"suffix":""},{"dropping-particle":"","family":"Shan","given":"Guohua","non-dropping-particle":"","parse-names":false,"suffix":""},{"dropping-particle":"","family":"Meng","given":"Linghui","non-dropping-particle":"","parse-names":false,"suffix":""}],"container-title":"Materials Science and Engineering A","id":"ITEM-2","issue":"1-2","issued":{"date-parts":[["2009"]]},"page":"179-183","title":"Recycling of carbon fibre reinforced composites using water in subcritical conditions","type":"article-journal","volume":"520"},"uris":["http://www.mendeley.com/documents/?uuid=80f56f9d-766e-41c7-84ad-27177c45a91e"]},{"id":"ITEM-3","itemData":{"DOI":"10.1016/j.compscitech.2008.10.007","ISSN":"02663538","author":[{"dropping-particle":"","family":"Jiang","given":"G","non-dropping-particle":"","parse-names":false,"suffix":""},{"dropping-particle":"","family":"Pickering","given":"S","non-dropping-particle":"","parse-names":false,"suffix":""},{"dropping-particle":"","family":"Lester","given":"E","non-dropping-particle":"","parse-names":false,"suffix":""},{"dropping-particle":"","family":"Turner","given":"T","non-dropping-particle":"","parse-names":false,"suffix":""},{"dropping-particle":"","family":"Wong","given":"K","non-dropping-particle":"","parse-names":false,"suffix":""},{"dropping-particle":"","family":"Warrior","given":"N","non-dropping-particle":"","parse-names":false,"suffix":""}],"container-title":"Composites Science and Technology","id":"ITEM-3","issue":"2","issued":{"date-parts":[["2009","2"]]},"page":"192-198","publisher":"Elsevier Ltd","title":"Characterisation of carbon fibres recycled from carbon fibre/epoxy resin composites using supercritical n-propanol","type":"article-journal","volume":"69"},"uris":["http://www.mendeley.com/documents/?uuid=50c19691-5ea0-4883-a8c1-68cf1312b432"]}],"mendeley":{"formattedCitation":"(Jiang et al., 2009; Liu et al., 2009; Okajima et al., 2012)","plainTextFormattedCitation":"(Jiang et al., 2009; Liu et al., 2009; Okajima et al., 2012)","previouslyFormattedCitation":"(Jiang et al., 2009; Liu et al., 2009; Okajima et al., 2012)"},"properties":{"noteIndex":0},"schema":"https://github.com/citation-style-language/schema/raw/master/csl-citation.json"}</w:instrText>
            </w:r>
            <w:r w:rsidRPr="002A6DBD">
              <w:rPr>
                <w:rFonts w:ascii="Helvetica" w:eastAsia="Times New Roman" w:hAnsi="Helvetica"/>
                <w:sz w:val="20"/>
                <w:szCs w:val="20"/>
              </w:rPr>
              <w:fldChar w:fldCharType="separate"/>
            </w:r>
            <w:r w:rsidR="005F3D6F" w:rsidRPr="00B27DC5">
              <w:rPr>
                <w:rFonts w:ascii="Helvetica" w:eastAsia="Times New Roman" w:hAnsi="Helvetica"/>
                <w:noProof/>
                <w:sz w:val="20"/>
                <w:szCs w:val="20"/>
              </w:rPr>
              <w:t>(Jiang et al., 2009; Liu et al., 2009; Okajima et al., 2012)</w:t>
            </w:r>
            <w:r w:rsidRPr="002A6DBD">
              <w:rPr>
                <w:rFonts w:ascii="Helvetica" w:eastAsia="Times New Roman" w:hAnsi="Helvetica"/>
                <w:sz w:val="20"/>
                <w:szCs w:val="20"/>
              </w:rPr>
              <w:fldChar w:fldCharType="end"/>
            </w:r>
          </w:p>
        </w:tc>
      </w:tr>
      <w:tr w:rsidR="005F3D6F" w:rsidRPr="002A6DBD" w14:paraId="6105BCD7" w14:textId="77777777">
        <w:trPr>
          <w:trHeight w:val="631"/>
          <w:jc w:val="center"/>
        </w:trPr>
        <w:tc>
          <w:tcPr>
            <w:tcW w:w="1419" w:type="dxa"/>
          </w:tcPr>
          <w:p w14:paraId="47A8725F" w14:textId="77777777" w:rsidR="005F3D6F" w:rsidRPr="002A6DBD" w:rsidRDefault="005F3D6F" w:rsidP="005F3D6F">
            <w:pPr>
              <w:tabs>
                <w:tab w:val="left" w:pos="851"/>
              </w:tabs>
              <w:spacing w:before="120"/>
              <w:rPr>
                <w:rFonts w:ascii="Helvetica" w:eastAsia="Times New Roman" w:hAnsi="Helvetica"/>
                <w:sz w:val="20"/>
                <w:szCs w:val="20"/>
              </w:rPr>
            </w:pPr>
            <w:r w:rsidRPr="005F3D6F">
              <w:rPr>
                <w:rFonts w:ascii="Helvetica" w:eastAsia="Times New Roman" w:hAnsi="Helvetica"/>
                <w:sz w:val="20"/>
                <w:szCs w:val="20"/>
                <w:lang w:eastAsia="zh-CN"/>
              </w:rPr>
              <w:t>High Voltage Fragmentation</w:t>
            </w:r>
          </w:p>
        </w:tc>
        <w:tc>
          <w:tcPr>
            <w:tcW w:w="1738" w:type="dxa"/>
          </w:tcPr>
          <w:p w14:paraId="2438928F" w14:textId="77777777" w:rsidR="005F3D6F" w:rsidRPr="002A6DBD" w:rsidRDefault="005F3D6F"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88%</w:t>
            </w:r>
          </w:p>
        </w:tc>
        <w:tc>
          <w:tcPr>
            <w:tcW w:w="2063" w:type="dxa"/>
          </w:tcPr>
          <w:p w14:paraId="295B4EF1" w14:textId="77777777" w:rsidR="005F3D6F" w:rsidRPr="002A6DBD" w:rsidRDefault="00107EB7"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5F3D6F">
              <w:rPr>
                <w:rFonts w:ascii="Helvetica" w:eastAsia="Times New Roman" w:hAnsi="Helvetica"/>
                <w:sz w:val="20"/>
                <w:szCs w:val="20"/>
              </w:rPr>
              <w:instrText>ADDIN CSL_CITATION {"citationItems":[{"id":"ITEM-1","itemData":{"ISBN":"9780000000002","author":[{"dropping-particle":"","family":"Rouholamin","given":"D","non-dropping-particle":"","parse-names":false,"suffix":""},{"dropping-particle":"","family":"Shyng","given":"Y T","non-dropping-particle":"","parse-names":false,"suffix":""},{"dropping-particle":"","family":"Savage","given":"L","non-dropping-particle":"","parse-names":false,"suffix":""},{"dropping-particle":"","family":"Ghita","given":"O","non-dropping-particle":"","parse-names":false,"suffix":""}],"container-title":"16th European Conference on Composite Materials","id":"ITEM-1","issue":"June","issued":{"date-parts":[["2014"]]},"page":"22-26","title":"A Comparative Study Into Mechanical Performance of Glass Fibres Recovered Through Mechanical Grinding and High Voltage Pulse Power Fragmentation","type":"article-journal"},"uris":["http://www.mendeley.com/documents/?uuid=052db896-a0f1-49bc-93b1-4076e2ccbcbd"]}],"mendeley":{"formattedCitation":"(Rouholamin et al., 2014)","plainTextFormattedCitation":"(Rouholamin et al., 2014)","previouslyFormattedCitation":"(Rouholamin et al., 2014)"},"properties":{"noteIndex":0},"schema":"https://github.com/citation-style-language/schema/raw/master/csl-citation.json"}</w:instrText>
            </w:r>
            <w:r w:rsidRPr="002A6DBD">
              <w:rPr>
                <w:rFonts w:ascii="Helvetica" w:eastAsia="Times New Roman" w:hAnsi="Helvetica"/>
                <w:sz w:val="20"/>
                <w:szCs w:val="20"/>
              </w:rPr>
              <w:fldChar w:fldCharType="separate"/>
            </w:r>
            <w:r w:rsidR="005F3D6F" w:rsidRPr="00B27DC5">
              <w:rPr>
                <w:rFonts w:ascii="Helvetica" w:eastAsia="Times New Roman" w:hAnsi="Helvetica"/>
                <w:noProof/>
                <w:sz w:val="20"/>
                <w:szCs w:val="20"/>
              </w:rPr>
              <w:t>(Rouholamin et al., 2014)</w:t>
            </w:r>
            <w:r w:rsidRPr="002A6DBD">
              <w:rPr>
                <w:rFonts w:ascii="Helvetica" w:eastAsia="Times New Roman" w:hAnsi="Helvetica"/>
                <w:sz w:val="20"/>
                <w:szCs w:val="20"/>
              </w:rPr>
              <w:fldChar w:fldCharType="end"/>
            </w:r>
          </w:p>
        </w:tc>
        <w:tc>
          <w:tcPr>
            <w:tcW w:w="1672" w:type="dxa"/>
          </w:tcPr>
          <w:p w14:paraId="2EF048F8" w14:textId="77777777" w:rsidR="005F3D6F" w:rsidRPr="002A6DBD" w:rsidRDefault="005F3D6F"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t>83%***</w:t>
            </w:r>
          </w:p>
        </w:tc>
        <w:tc>
          <w:tcPr>
            <w:tcW w:w="2118" w:type="dxa"/>
          </w:tcPr>
          <w:p w14:paraId="532C2EA1" w14:textId="77777777" w:rsidR="005F3D6F" w:rsidRPr="002A6DBD" w:rsidRDefault="00107EB7" w:rsidP="005F3D6F">
            <w:pPr>
              <w:tabs>
                <w:tab w:val="left" w:pos="851"/>
              </w:tabs>
              <w:spacing w:before="120"/>
              <w:rPr>
                <w:rFonts w:ascii="Helvetica" w:eastAsia="Times New Roman" w:hAnsi="Helvetica"/>
                <w:sz w:val="20"/>
                <w:szCs w:val="20"/>
              </w:rPr>
            </w:pPr>
            <w:r w:rsidRPr="002A6DBD">
              <w:rPr>
                <w:rFonts w:ascii="Helvetica" w:eastAsia="Times New Roman" w:hAnsi="Helvetica"/>
                <w:sz w:val="20"/>
                <w:szCs w:val="20"/>
              </w:rPr>
              <w:fldChar w:fldCharType="begin" w:fldLock="1"/>
            </w:r>
            <w:r w:rsidR="005F3D6F">
              <w:rPr>
                <w:rFonts w:ascii="Helvetica" w:eastAsia="Times New Roman" w:hAnsi="Helvetica"/>
                <w:sz w:val="20"/>
                <w:szCs w:val="20"/>
              </w:rPr>
              <w:instrText>ADDIN CSL_CITATION {"citationItems":[{"id":"ITEM-1","itemData":{"author":[{"dropping-particle":"","family":"Weh","given":"Alexander","non-dropping-particle":"","parse-names":false,"suffix":""}],"id":"ITEM-1","issued":{"date-parts":[["2012"]]},"note":"CFRP Cost + HVF energy consumption","number-of-pages":"1-7","publisher-place":"SELFRAG AG","title":"Final Report Summary – SELFRAG CFRP (High Voltage Pulse Fragmentation Technology to Recycle Fibre-Reinforced Composites)","type":"report"},"uris":["http://www.mendeley.com/documents/?uuid=e09baaf2-7ffd-4a9a-9840-34a0d9ae1a70"]}],"mendeley":{"formattedCitation":"(Weh, 2012a)","plainTextFormattedCitation":"(Weh, 2012a)","previouslyFormattedCitation":"(Weh, 2012a)"},"properties":{"noteIndex":0},"schema":"https://github.com/citation-style-language/schema/raw/master/csl-citation.json"}</w:instrText>
            </w:r>
            <w:r w:rsidRPr="002A6DBD">
              <w:rPr>
                <w:rFonts w:ascii="Helvetica" w:eastAsia="Times New Roman" w:hAnsi="Helvetica"/>
                <w:sz w:val="20"/>
                <w:szCs w:val="20"/>
              </w:rPr>
              <w:fldChar w:fldCharType="separate"/>
            </w:r>
            <w:r w:rsidR="005F3D6F" w:rsidRPr="00B27DC5">
              <w:rPr>
                <w:rFonts w:ascii="Helvetica" w:eastAsia="Times New Roman" w:hAnsi="Helvetica"/>
                <w:noProof/>
                <w:sz w:val="20"/>
                <w:szCs w:val="20"/>
              </w:rPr>
              <w:t>(Weh, 2012a)</w:t>
            </w:r>
            <w:r w:rsidRPr="002A6DBD">
              <w:rPr>
                <w:rFonts w:ascii="Helvetica" w:eastAsia="Times New Roman" w:hAnsi="Helvetica"/>
                <w:sz w:val="20"/>
                <w:szCs w:val="20"/>
              </w:rPr>
              <w:fldChar w:fldCharType="end"/>
            </w:r>
          </w:p>
        </w:tc>
      </w:tr>
    </w:tbl>
    <w:p w14:paraId="342A6297" w14:textId="6CB98132" w:rsidR="00B44120" w:rsidRPr="002A6DBD" w:rsidRDefault="00B44120" w:rsidP="0022044B">
      <w:pPr>
        <w:pStyle w:val="Caption"/>
      </w:pPr>
      <w:bookmarkStart w:id="5" w:name="_Toc486169607"/>
      <w:r w:rsidRPr="002A6DBD">
        <w:t xml:space="preserve">Table </w:t>
      </w:r>
      <w:r w:rsidR="00056BD5">
        <w:t>5</w:t>
      </w:r>
      <w:r w:rsidRPr="002A6DBD">
        <w:t xml:space="preserve">: </w:t>
      </w:r>
      <w:r w:rsidR="00B865E3" w:rsidRPr="00BB5D58">
        <w:rPr>
          <w:color w:val="auto"/>
        </w:rPr>
        <w:t>Recycled fibre retained tensile strength compared to virgin fibre. *Significant fibre damage has been stated, but no data has been found. This data is estimated by the authors. **No reference found, estimated to be the same as conventional pyrolysis as the processing conditions are similar. *** No fibre strength has been found directly from the literature. Estimated to be the same ratio as the strength of a rotorcraft door hinge made with recycled CF compared to a virgin hinge</w:t>
      </w:r>
      <w:proofErr w:type="gramStart"/>
      <w:r w:rsidR="00B865E3" w:rsidRPr="005F0905">
        <w:rPr>
          <w:i w:val="0"/>
          <w:color w:val="auto"/>
          <w:sz w:val="24"/>
          <w:szCs w:val="24"/>
        </w:rPr>
        <w:t>.</w:t>
      </w:r>
      <w:r w:rsidRPr="002A6DBD">
        <w:t>.</w:t>
      </w:r>
      <w:bookmarkEnd w:id="5"/>
      <w:proofErr w:type="gramEnd"/>
    </w:p>
    <w:p w14:paraId="190F9F1B" w14:textId="0933E806" w:rsidR="00B44120" w:rsidRPr="00B44120" w:rsidRDefault="00AC78A4" w:rsidP="00B44120">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A further factor is that t</w:t>
      </w:r>
      <w:r w:rsidR="00B44120" w:rsidRPr="00B44120">
        <w:rPr>
          <w:rFonts w:ascii="Helvetica" w:eastAsia="Times New Roman" w:hAnsi="Helvetica" w:cs="Times New Roman"/>
          <w:sz w:val="22"/>
          <w:lang w:eastAsia="en-GB"/>
        </w:rPr>
        <w:t>he length</w:t>
      </w:r>
      <w:r w:rsidR="005A23AE">
        <w:rPr>
          <w:rFonts w:ascii="Helvetica" w:eastAsia="Times New Roman" w:hAnsi="Helvetica" w:cs="Times New Roman"/>
          <w:sz w:val="22"/>
          <w:lang w:eastAsia="en-GB"/>
        </w:rPr>
        <w:t>s</w:t>
      </w:r>
      <w:r w:rsidR="00B44120" w:rsidRPr="00B44120">
        <w:rPr>
          <w:rFonts w:ascii="Helvetica" w:eastAsia="Times New Roman" w:hAnsi="Helvetica" w:cs="Times New Roman"/>
          <w:sz w:val="22"/>
          <w:lang w:eastAsia="en-GB"/>
        </w:rPr>
        <w:t xml:space="preserve"> of the recycled fibres </w:t>
      </w:r>
      <w:r w:rsidR="00B36FC0">
        <w:rPr>
          <w:rFonts w:ascii="Helvetica" w:eastAsia="Times New Roman" w:hAnsi="Helvetica" w:cs="Times New Roman"/>
          <w:sz w:val="22"/>
          <w:lang w:eastAsia="en-GB"/>
        </w:rPr>
        <w:t>vary</w:t>
      </w:r>
      <w:r w:rsidR="00B44120" w:rsidRPr="00B44120">
        <w:rPr>
          <w:rFonts w:ascii="Helvetica" w:eastAsia="Times New Roman" w:hAnsi="Helvetica" w:cs="Times New Roman"/>
          <w:sz w:val="22"/>
          <w:lang w:eastAsia="en-GB"/>
        </w:rPr>
        <w:t xml:space="preserve"> and the recycled fibres have different </w:t>
      </w:r>
      <w:r w:rsidR="005A23AE">
        <w:rPr>
          <w:rFonts w:ascii="Helvetica" w:eastAsia="Times New Roman" w:hAnsi="Helvetica" w:cs="Times New Roman"/>
          <w:sz w:val="22"/>
          <w:lang w:eastAsia="en-GB"/>
        </w:rPr>
        <w:t>amount</w:t>
      </w:r>
      <w:r w:rsidR="005A23AE" w:rsidRPr="00B44120">
        <w:rPr>
          <w:rFonts w:ascii="Helvetica" w:eastAsia="Times New Roman" w:hAnsi="Helvetica" w:cs="Times New Roman"/>
          <w:sz w:val="22"/>
          <w:lang w:eastAsia="en-GB"/>
        </w:rPr>
        <w:t xml:space="preserve">s </w:t>
      </w:r>
      <w:r w:rsidR="00B44120" w:rsidRPr="00B44120">
        <w:rPr>
          <w:rFonts w:ascii="Helvetica" w:eastAsia="Times New Roman" w:hAnsi="Helvetica" w:cs="Times New Roman"/>
          <w:sz w:val="22"/>
          <w:lang w:eastAsia="en-GB"/>
        </w:rPr>
        <w:t xml:space="preserve">of resin residue; consequently, the fibres are not as clean and homogeneous as virgin fibre and thus </w:t>
      </w:r>
      <w:r>
        <w:rPr>
          <w:rFonts w:ascii="Helvetica" w:eastAsia="Times New Roman" w:hAnsi="Helvetica" w:cs="Times New Roman"/>
          <w:sz w:val="22"/>
          <w:lang w:eastAsia="en-GB"/>
        </w:rPr>
        <w:t>require</w:t>
      </w:r>
      <w:r w:rsidR="00035981"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post-processing </w:t>
      </w:r>
      <w:r w:rsidR="00107EB7" w:rsidRPr="00B44120">
        <w:rPr>
          <w:rFonts w:ascii="Helvetica" w:eastAsia="Times New Roman" w:hAnsi="Helvetica" w:cs="Times New Roman"/>
          <w:sz w:val="22"/>
          <w:lang w:eastAsia="en-GB"/>
        </w:rPr>
        <w:fldChar w:fldCharType="begin" w:fldLock="1"/>
      </w:r>
      <w:r w:rsidR="00A17B85">
        <w:rPr>
          <w:rFonts w:ascii="Helvetica" w:eastAsia="Times New Roman" w:hAnsi="Helvetica" w:cs="Times New Roman"/>
          <w:sz w:val="22"/>
          <w:lang w:eastAsia="en-GB"/>
        </w:rPr>
        <w:instrText>ADDIN CSL_CITATION {"citationItems":[{"id":"ITEM-1","itemData":{"author":[{"dropping-particle":"","family":"Meng","given":"Fanran","non-dropping-particle":"","parse-names":false,"suffix":""}],"id":"ITEM-1","issued":{"date-parts":[["2017"]]},"publisher-place":"Nottingham","title":"PhD student, working on the fludised bed project from University of Nottingham, Email and face to face commnunication","type":"article"},"uris":["http://www.mendeley.com/documents/?uuid=a2df8ead-9c59-4c1f-a77e-beeff798dbc3"]}],"mendeley":{"formattedCitation":"(Meng, 2017)","plainTextFormattedCitation":"(Meng, 2017)","previouslyFormattedCitation":"(Meng, 2017)"},"properties":{"noteIndex":0},"schema":"https://github.com/citation-style-language/schema/raw/master/csl-citation.json"}</w:instrText>
      </w:r>
      <w:r w:rsidR="00107EB7" w:rsidRPr="00B44120">
        <w:rPr>
          <w:rFonts w:ascii="Helvetica" w:eastAsia="Times New Roman" w:hAnsi="Helvetica" w:cs="Times New Roman"/>
          <w:sz w:val="22"/>
          <w:lang w:eastAsia="en-GB"/>
        </w:rPr>
        <w:fldChar w:fldCharType="separate"/>
      </w:r>
      <w:r w:rsidR="00B27DC5" w:rsidRPr="00B27DC5">
        <w:rPr>
          <w:rFonts w:ascii="Helvetica" w:eastAsia="Times New Roman" w:hAnsi="Helvetica" w:cs="Times New Roman"/>
          <w:noProof/>
          <w:sz w:val="22"/>
          <w:lang w:eastAsia="en-GB"/>
        </w:rPr>
        <w:t>(Meng, 2017)</w:t>
      </w:r>
      <w:r w:rsidR="00107EB7" w:rsidRPr="00B44120">
        <w:rPr>
          <w:rFonts w:ascii="Helvetica" w:eastAsia="Times New Roman" w:hAnsi="Helvetica" w:cs="Times New Roman"/>
          <w:sz w:val="22"/>
          <w:lang w:eastAsia="en-GB"/>
        </w:rPr>
        <w:fldChar w:fldCharType="end"/>
      </w:r>
      <w:r w:rsidR="00B44120" w:rsidRPr="00B44120">
        <w:rPr>
          <w:rFonts w:ascii="Helvetica" w:eastAsia="Times New Roman" w:hAnsi="Helvetica" w:cs="Times New Roman"/>
          <w:sz w:val="22"/>
          <w:lang w:eastAsia="en-GB"/>
        </w:rPr>
        <w:t xml:space="preserve">. </w:t>
      </w:r>
      <w:r w:rsidR="00B36FC0">
        <w:rPr>
          <w:rFonts w:ascii="Helvetica" w:eastAsia="Times New Roman" w:hAnsi="Helvetica" w:cs="Times New Roman"/>
          <w:sz w:val="22"/>
          <w:lang w:eastAsia="en-GB"/>
        </w:rPr>
        <w:t>Very limited</w:t>
      </w:r>
      <w:r w:rsidR="00B36FC0"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data is yet available to indicate how much work is needed. We have deducted 10% of the recyclate value from the final recycling benefits to take this into account.</w:t>
      </w:r>
    </w:p>
    <w:p w14:paraId="44EB8825" w14:textId="6C2FC571" w:rsidR="00B44120" w:rsidRPr="00B44120" w:rsidRDefault="00B44120" w:rsidP="00B44120">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t xml:space="preserve">As well as the recyclate benefits of recycled fibre, the recyclate benefits of the resin and fillers need to be determined. Previous studies have identified that the resin in composite can be </w:t>
      </w:r>
      <w:r w:rsidRPr="00B44120">
        <w:rPr>
          <w:rFonts w:ascii="Helvetica" w:eastAsia="Times New Roman" w:hAnsi="Helvetica" w:cs="Times New Roman"/>
          <w:sz w:val="22"/>
          <w:lang w:eastAsia="en-GB"/>
        </w:rPr>
        <w:lastRenderedPageBreak/>
        <w:t xml:space="preserve">recycled through chemical processes and have proposed that this recycled resin can be reused, but none have indicated either the yield rate or the performance of recycled resin </w:t>
      </w:r>
      <w:r w:rsidR="00107EB7" w:rsidRPr="00B44120">
        <w:rPr>
          <w:rFonts w:ascii="Helvetica" w:eastAsia="Times New Roman" w:hAnsi="Helvetica" w:cs="Times New Roman"/>
          <w:sz w:val="22"/>
          <w:lang w:eastAsia="en-GB"/>
        </w:rPr>
        <w:fldChar w:fldCharType="begin" w:fldLock="1"/>
      </w:r>
      <w:r w:rsidR="00A17B85">
        <w:rPr>
          <w:rFonts w:ascii="Helvetica" w:eastAsia="Times New Roman" w:hAnsi="Helvetica" w:cs="Times New Roman"/>
          <w:sz w:val="22"/>
          <w:lang w:eastAsia="en-GB"/>
        </w:rPr>
        <w:instrText>ADDIN CSL_CITATION {"citationItems":[{"id":"ITEM-1","itemData":{"DOI":"10.1016/j.matdes.2009.07.057","ISBN":"0261-3069","ISSN":"02641275","abstract":"The carbon fibers in carbon fibers reinforced epoxy resin composites were recovered in oxygen in supercritical water at 30 ± 1 MPa and 440 ± 10 °C. The microstructure of the recovered carbon fibers was observed using scanning electron microscopy (SEM) and atom force microscopy (AFM). The results revealed that the clean carbon fibers were recovered and had higher tensile strength relative to the virgin carbon fibers when the decomposition rate was above 85 wt.%, although the recovered carbon fibers have clean surface, the epoxy resin on the surface of the recovered carbon fibers was readily observed. As the decomposition rate increased to above 96 wt.%, no epoxy resin was observed on the surface of the carbon fibers and the oxidation of the recovered carbon fibers was readily measured by X-ray photoelectron spectroscopy (XPS) analysis. The carbon fibers were ideally recovered and have original strength when the decomposition rates were between 94 and 97 wt.%. This study clearly showed the oxygen in supercritical water is a promising way for recycling the carbon fibers in carbon fibers reinforced resin composites. © 2009 Elsevier Ltd. All rights reserved.","author":[{"dropping-particle":"","family":"Bai","given":"Yongping","non-dropping-particle":"","parse-names":false,"suffix":""},{"dropping-particle":"","family":"Wang","given":"Zhi","non-dropping-particle":"","parse-names":false,"suffix":""},{"dropping-particle":"","family":"Feng","given":"Liqun","non-dropping-particle":"","parse-names":false,"suffix":""}],"container-title":"Materials and Design","id":"ITEM-1","issue":"2","issued":{"date-parts":[["2010"]]},"page":"999-1002","publisher":"Elsevier Ltd","title":"Chemical recycling of carbon fibers reinforced epoxy resin composites in oxygen in supercritical water","type":"article-journal","volume":"31"},"uris":["http://www.mendeley.com/documents/?uuid=635e7f7b-af7c-40bb-93b1-5a317ca759b2"]},{"id":"ITEM-2","itemData":{"DOI":"10.1016/j.pmatsci.2015.01.004","ISBN":"0079-6425","ISSN":"00796425","abstract":"A complete review of the different techniques that have been developed to recycle fibre reinforced polymers is presented. The review also focuses on the reuse of valuable products recovered by different techniques, in particular the way that fibres have been reincorporated into new materials or applications and the main technological issues encountered. Recycled glass fibres can replace small amounts of virgin fibres in products but not at high enough concentrations to make their recycling economically and environmentally viable, if for example, thermolysis or solvolysis is used. Reclaimed carbon fibres from high-technology applications cannot be reincorporated in the same applications from which they were recovered, so new appropriate applications have to be developed in order to reuse the fibres. Materials incorporating recycled fibres exhibit specific mechanical properties because of the particular characteristics imparted by the fibres. The development of specific standards is therefore necessary, as well as efforts in the development of solutions that enable reusers to benefit from their reinforcement potential. The recovery and reuse of valuable products from resins are also considered, but also the development of recyclable thermoset resins. Finally, the economic and environmental aspects of recycling composite materials, based on Life Cycle Assessment, are discussed.","author":[{"dropping-particle":"","family":"Oliveux","given":"Géraldine","non-dropping-particle":"","parse-names":false,"suffix":""},{"dropping-particle":"","family":"Dandy","given":"Luke O.","non-dropping-particle":"","parse-names":false,"suffix":""},{"dropping-particle":"","family":"Leeke","given":"Gary a.","non-dropping-particle":"","parse-names":false,"suffix":""}],"container-title":"Progress in Materials Science","id":"ITEM-2","issued":{"date-parts":[["2015"]]},"page":"61-99","title":"Current Status of Recycling of Fibre Reinforced Polymers: review of technologies, reuse and resulting properties","type":"article-journal","volume":"72"},"uris":["http://www.mendeley.com/documents/?uuid=a560578c-0f79-44bf-a662-f8dddd90786d"]},{"id":"ITEM-3","itemData":{"author":[{"dropping-particle":"","family":"Keith","given":"Matthew","non-dropping-particle":"","parse-names":false,"suffix":""},{"dropping-particle":"","family":"Oliveux","given":"Géraldine","non-dropping-particle":"","parse-names":false,"suffix":""},{"dropping-particle":"","family":"Leeke","given":"Gary A.","non-dropping-particle":"","parse-names":false,"suffix":""}],"container-title":"ECCM17 - 17th European Conference on Composite Materials","id":"ITEM-3","issue":"July","issued":{"date-parts":[["2016"]]},"page":"26-30","title":"Optimisation of Solvolysis for Recycling Carbon Fibre Reinforced composites","type":"article-journal"},"uris":["http://www.mendeley.com/documents/?uuid=4655118b-eaa0-44fa-bc3a-c81233c198e2"]}],"mendeley":{"formattedCitation":"(Bai et al., 2010; Keith et al., 2016; Oliveux et al., 2015)","plainTextFormattedCitation":"(Bai et al., 2010; Keith et al., 2016; Oliveux et al., 2015)","previouslyFormattedCitation":"(Bai et al., 2010; Keith et al., 2016; Oliveux et al., 2015)"},"properties":{"noteIndex":0},"schema":"https://github.com/citation-style-language/schema/raw/master/csl-citation.json"}</w:instrText>
      </w:r>
      <w:r w:rsidR="00107EB7" w:rsidRPr="00B44120">
        <w:rPr>
          <w:rFonts w:ascii="Helvetica" w:eastAsia="Times New Roman" w:hAnsi="Helvetica" w:cs="Times New Roman"/>
          <w:sz w:val="22"/>
          <w:lang w:eastAsia="en-GB"/>
        </w:rPr>
        <w:fldChar w:fldCharType="separate"/>
      </w:r>
      <w:r w:rsidR="00B27DC5" w:rsidRPr="00B27DC5">
        <w:rPr>
          <w:rFonts w:ascii="Helvetica" w:eastAsia="Times New Roman" w:hAnsi="Helvetica" w:cs="Times New Roman"/>
          <w:noProof/>
          <w:sz w:val="22"/>
          <w:lang w:eastAsia="en-GB"/>
        </w:rPr>
        <w:t>(Bai et al., 2010; Keith et al., 2016; Oliveux et al., 2015)</w:t>
      </w:r>
      <w:r w:rsidR="00107EB7" w:rsidRPr="00B44120">
        <w:rPr>
          <w:rFonts w:ascii="Helvetica" w:eastAsia="Times New Roman" w:hAnsi="Helvetica" w:cs="Times New Roman"/>
          <w:sz w:val="22"/>
          <w:lang w:eastAsia="en-GB"/>
        </w:rPr>
        <w:fldChar w:fldCharType="end"/>
      </w:r>
      <w:r w:rsidRPr="00B44120">
        <w:rPr>
          <w:rFonts w:ascii="Helvetica" w:eastAsia="Times New Roman" w:hAnsi="Helvetica" w:cs="Times New Roman"/>
          <w:sz w:val="22"/>
          <w:lang w:eastAsia="en-GB"/>
        </w:rPr>
        <w:t>. Here we conservatively assume the recycled resin impact value is 50% of new resin. The fillers recovered can be used to substitute for CaCO</w:t>
      </w:r>
      <w:r w:rsidRPr="00B44120">
        <w:rPr>
          <w:rFonts w:ascii="Helvetica" w:eastAsia="Times New Roman" w:hAnsi="Helvetica" w:cs="Times New Roman"/>
          <w:sz w:val="22"/>
          <w:vertAlign w:val="subscript"/>
          <w:lang w:eastAsia="en-GB"/>
        </w:rPr>
        <w:t xml:space="preserve">3  </w:t>
      </w:r>
      <w:r w:rsidR="00107EB7" w:rsidRPr="00B44120">
        <w:rPr>
          <w:rFonts w:ascii="Helvetica" w:eastAsia="Times New Roman" w:hAnsi="Helvetica" w:cs="Times New Roman"/>
          <w:sz w:val="22"/>
          <w:vertAlign w:val="subscript"/>
          <w:lang w:eastAsia="en-GB"/>
        </w:rPr>
        <w:fldChar w:fldCharType="begin" w:fldLock="1"/>
      </w:r>
      <w:r w:rsidR="00A17B85">
        <w:rPr>
          <w:rFonts w:ascii="Helvetica" w:eastAsia="Times New Roman" w:hAnsi="Helvetica" w:cs="Times New Roman"/>
          <w:sz w:val="22"/>
          <w:vertAlign w:val="subscript"/>
          <w:lang w:eastAsia="en-GB"/>
        </w:rPr>
        <w:instrText>ADDIN CSL_CITATION {"citationItems":[{"id":"ITEM-1","itemData":{"DOI":"10.1016/j.compositesa.2005.05.030","ISSN":"1359835X","abstract":"The technologies for recycling thermoset composite materials are reviewed. Mechanical recycling techniques involve the use of grinding techniques to comminute the scrap material and produce recyclate products in different size ranges suitable for reuse as fillers or partial reinforcement in new composite material. Thermal recycling processes involve the use of heat to break the scrap composite down and a range of processes are described in which there are various degrees of energy and material recovery. The prospects for commercially successful composites recycling operations are considered and a new initiative within the European composites industry to stimulate recycling is described.","author":[{"dropping-particle":"","family":"Pickering","given":"S.J.","non-dropping-particle":"","parse-names":false,"suffix":""}],"container-title":"Composites Part A: Applied Science and Manufacturing","id":"ITEM-1","issue":"8","issued":{"date-parts":[["2006","8"]]},"page":"1206-1215","title":"Recycling technologies for thermoset composite materials—current status","type":"article-journal","volume":"37"},"uris":["http://www.mendeley.com/documents/?uuid=4e7e8f99-016c-4888-83dd-2239071be872"]}],"mendeley":{"formattedCitation":"(Pickering, 2006)","plainTextFormattedCitation":"(Pickering, 2006)","previouslyFormattedCitation":"(Pickering, 2006)"},"properties":{"noteIndex":0},"schema":"https://github.com/citation-style-language/schema/raw/master/csl-citation.json"}</w:instrText>
      </w:r>
      <w:r w:rsidR="00107EB7" w:rsidRPr="00B44120">
        <w:rPr>
          <w:rFonts w:ascii="Helvetica" w:eastAsia="Times New Roman" w:hAnsi="Helvetica" w:cs="Times New Roman"/>
          <w:sz w:val="22"/>
          <w:vertAlign w:val="subscript"/>
          <w:lang w:eastAsia="en-GB"/>
        </w:rPr>
        <w:fldChar w:fldCharType="separate"/>
      </w:r>
      <w:r w:rsidR="00B27DC5" w:rsidRPr="00B27DC5">
        <w:rPr>
          <w:rFonts w:ascii="Helvetica" w:eastAsia="Times New Roman" w:hAnsi="Helvetica" w:cs="Times New Roman"/>
          <w:noProof/>
          <w:sz w:val="22"/>
          <w:lang w:eastAsia="en-GB"/>
        </w:rPr>
        <w:t>(Pickering, 2006)</w:t>
      </w:r>
      <w:r w:rsidR="00107EB7" w:rsidRPr="00B44120">
        <w:rPr>
          <w:rFonts w:ascii="Helvetica" w:eastAsia="Times New Roman" w:hAnsi="Helvetica" w:cs="Times New Roman"/>
          <w:sz w:val="22"/>
          <w:vertAlign w:val="subscript"/>
          <w:lang w:eastAsia="en-GB"/>
        </w:rPr>
        <w:fldChar w:fldCharType="end"/>
      </w:r>
      <w:r w:rsidR="0041392A">
        <w:rPr>
          <w:rFonts w:ascii="Helvetica" w:eastAsia="Times New Roman" w:hAnsi="Helvetica" w:cs="Times New Roman"/>
          <w:sz w:val="22"/>
          <w:vertAlign w:val="subscript"/>
          <w:lang w:eastAsia="en-GB"/>
        </w:rPr>
        <w:t>,</w:t>
      </w:r>
      <w:r w:rsidR="0041392A">
        <w:rPr>
          <w:rFonts w:ascii="Helvetica" w:eastAsia="Times New Roman" w:hAnsi="Helvetica" w:cs="Times New Roman"/>
          <w:sz w:val="22"/>
          <w:lang w:eastAsia="en-GB"/>
        </w:rPr>
        <w:t xml:space="preserve"> but</w:t>
      </w:r>
      <w:r w:rsidRPr="00B44120">
        <w:rPr>
          <w:rFonts w:ascii="Helvetica" w:eastAsia="Times New Roman" w:hAnsi="Helvetica" w:cs="Times New Roman"/>
          <w:sz w:val="22"/>
          <w:lang w:eastAsia="en-GB"/>
        </w:rPr>
        <w:t xml:space="preserve"> information</w:t>
      </w:r>
      <w:r w:rsidR="009614EC">
        <w:rPr>
          <w:rFonts w:ascii="Helvetica" w:eastAsia="Times New Roman" w:hAnsi="Helvetica" w:cs="Times New Roman"/>
          <w:sz w:val="22"/>
          <w:lang w:eastAsia="en-GB"/>
        </w:rPr>
        <w:t xml:space="preserve"> is limited</w:t>
      </w:r>
      <w:r w:rsidR="009406B5">
        <w:rPr>
          <w:rFonts w:ascii="Helvetica" w:eastAsia="Times New Roman" w:hAnsi="Helvetica" w:cs="Times New Roman"/>
          <w:sz w:val="22"/>
          <w:lang w:eastAsia="en-GB"/>
        </w:rPr>
        <w:t>. S</w:t>
      </w:r>
      <w:r w:rsidR="009614EC">
        <w:rPr>
          <w:rFonts w:ascii="Helvetica" w:eastAsia="Times New Roman" w:hAnsi="Helvetica" w:cs="Times New Roman"/>
          <w:sz w:val="22"/>
          <w:lang w:eastAsia="en-GB"/>
        </w:rPr>
        <w:t>ince</w:t>
      </w:r>
      <w:r w:rsidRPr="00B44120">
        <w:rPr>
          <w:rFonts w:ascii="Helvetica" w:eastAsia="Times New Roman" w:hAnsi="Helvetica" w:cs="Times New Roman"/>
          <w:sz w:val="22"/>
          <w:lang w:eastAsia="en-GB"/>
        </w:rPr>
        <w:t xml:space="preserve"> </w:t>
      </w:r>
      <w:r w:rsidR="006E1C4D">
        <w:rPr>
          <w:rFonts w:ascii="Helvetica" w:eastAsia="Times New Roman" w:hAnsi="Helvetica" w:cs="Times New Roman"/>
          <w:sz w:val="22"/>
          <w:lang w:eastAsia="en-GB"/>
        </w:rPr>
        <w:t xml:space="preserve">the </w:t>
      </w:r>
      <w:r w:rsidRPr="00B44120">
        <w:rPr>
          <w:rFonts w:ascii="Helvetica" w:eastAsia="Times New Roman" w:hAnsi="Helvetica" w:cs="Times New Roman"/>
          <w:sz w:val="22"/>
          <w:lang w:eastAsia="en-GB"/>
        </w:rPr>
        <w:t>impact value of CaCO</w:t>
      </w:r>
      <w:r w:rsidRPr="00B44120">
        <w:rPr>
          <w:rFonts w:ascii="Helvetica" w:eastAsia="Times New Roman" w:hAnsi="Helvetica" w:cs="Times New Roman"/>
          <w:sz w:val="22"/>
          <w:vertAlign w:val="subscript"/>
          <w:lang w:eastAsia="en-GB"/>
        </w:rPr>
        <w:t>3</w:t>
      </w:r>
      <w:r w:rsidRPr="00B44120">
        <w:rPr>
          <w:rFonts w:ascii="Helvetica" w:eastAsia="Times New Roman" w:hAnsi="Helvetica" w:cs="Times New Roman"/>
          <w:sz w:val="22"/>
          <w:lang w:eastAsia="en-GB"/>
        </w:rPr>
        <w:t xml:space="preserve"> is </w:t>
      </w:r>
      <w:r w:rsidR="009614EC">
        <w:rPr>
          <w:rFonts w:ascii="Helvetica" w:eastAsia="Times New Roman" w:hAnsi="Helvetica" w:cs="Times New Roman"/>
          <w:sz w:val="22"/>
          <w:lang w:eastAsia="en-GB"/>
        </w:rPr>
        <w:t xml:space="preserve">low, </w:t>
      </w:r>
      <w:r w:rsidRPr="00B44120">
        <w:rPr>
          <w:rFonts w:ascii="Helvetica" w:eastAsia="Times New Roman" w:hAnsi="Helvetica" w:cs="Times New Roman"/>
          <w:sz w:val="22"/>
          <w:lang w:eastAsia="en-GB"/>
        </w:rPr>
        <w:t xml:space="preserve">less than 0.5 MJ/kg </w:t>
      </w:r>
      <w:r w:rsidR="00107EB7" w:rsidRPr="00B44120">
        <w:rPr>
          <w:rFonts w:ascii="Helvetica" w:eastAsia="Times New Roman" w:hAnsi="Helvetica" w:cs="Times New Roman"/>
          <w:sz w:val="22"/>
          <w:lang w:eastAsia="en-GB"/>
        </w:rPr>
        <w:fldChar w:fldCharType="begin" w:fldLock="1"/>
      </w:r>
      <w:r w:rsidR="00A17B85">
        <w:rPr>
          <w:rFonts w:ascii="Helvetica" w:eastAsia="Times New Roman" w:hAnsi="Helvetica" w:cs="Times New Roman"/>
          <w:sz w:val="22"/>
          <w:lang w:eastAsia="en-GB"/>
        </w:rPr>
        <w:instrText>ADDIN CSL_CITATION {"citationItems":[{"id":"ITEM-1","itemData":{"author":[{"dropping-particle":"","family":"De","given":"S.K.","non-dropping-particle":"","parse-names":false,"suffix":""},{"dropping-particle":"","family":"White","given":"J.R.","non-dropping-particle":"","parse-names":false,"suffix":""}],"edition":"Volume 1","id":"ITEM-1","issued":{"date-parts":[["2001"]]},"number-of-pages":"157","publisher":"iSmithers Rapra Publishing","title":"Rubber technologist's handbook","type":"book"},"uris":["http://www.mendeley.com/documents/?uuid=8d2ff015-c46d-4144-94ff-05cc0bb7c574"]}],"mendeley":{"formattedCitation":"(De and White, 2001)","plainTextFormattedCitation":"(De and White, 2001)","previouslyFormattedCitation":"(De and White, 2001)"},"properties":{"noteIndex":0},"schema":"https://github.com/citation-style-language/schema/raw/master/csl-citation.json"}</w:instrText>
      </w:r>
      <w:r w:rsidR="00107EB7" w:rsidRPr="00B44120">
        <w:rPr>
          <w:rFonts w:ascii="Helvetica" w:eastAsia="Times New Roman" w:hAnsi="Helvetica" w:cs="Times New Roman"/>
          <w:sz w:val="22"/>
          <w:lang w:eastAsia="en-GB"/>
        </w:rPr>
        <w:fldChar w:fldCharType="separate"/>
      </w:r>
      <w:r w:rsidR="00B27DC5" w:rsidRPr="00B27DC5">
        <w:rPr>
          <w:rFonts w:ascii="Helvetica" w:eastAsia="Times New Roman" w:hAnsi="Helvetica" w:cs="Times New Roman"/>
          <w:noProof/>
          <w:sz w:val="22"/>
          <w:lang w:eastAsia="en-GB"/>
        </w:rPr>
        <w:t>(De and White, 2001)</w:t>
      </w:r>
      <w:r w:rsidR="00107EB7" w:rsidRPr="00B44120">
        <w:rPr>
          <w:rFonts w:ascii="Helvetica" w:eastAsia="Times New Roman" w:hAnsi="Helvetica" w:cs="Times New Roman"/>
          <w:sz w:val="22"/>
          <w:lang w:eastAsia="en-GB"/>
        </w:rPr>
        <w:fldChar w:fldCharType="end"/>
      </w:r>
      <w:r w:rsidR="009614EC">
        <w:rPr>
          <w:rFonts w:ascii="Helvetica" w:eastAsia="Times New Roman" w:hAnsi="Helvetica" w:cs="Times New Roman"/>
          <w:sz w:val="22"/>
          <w:lang w:eastAsia="en-GB"/>
        </w:rPr>
        <w:t>, fillers</w:t>
      </w:r>
      <w:r w:rsidR="00B36FC0">
        <w:rPr>
          <w:rFonts w:ascii="Helvetica" w:eastAsia="Times New Roman" w:hAnsi="Helvetica" w:cs="Times New Roman"/>
          <w:sz w:val="22"/>
          <w:lang w:eastAsia="en-GB"/>
        </w:rPr>
        <w:t xml:space="preserve"> </w:t>
      </w:r>
      <w:r w:rsidR="009614EC">
        <w:rPr>
          <w:rFonts w:ascii="Helvetica" w:eastAsia="Times New Roman" w:hAnsi="Helvetica" w:cs="Times New Roman"/>
          <w:sz w:val="22"/>
          <w:lang w:eastAsia="en-GB"/>
        </w:rPr>
        <w:t>have been excluded from benefits calculations</w:t>
      </w:r>
      <w:r w:rsidRPr="00B44120">
        <w:rPr>
          <w:rFonts w:ascii="Helvetica" w:eastAsia="Times New Roman" w:hAnsi="Helvetica" w:cs="Times New Roman"/>
          <w:sz w:val="22"/>
          <w:lang w:eastAsia="en-GB"/>
        </w:rPr>
        <w:t>. For comparison</w:t>
      </w:r>
      <w:r w:rsidR="00B36FC0">
        <w:rPr>
          <w:rFonts w:ascii="Helvetica" w:eastAsia="Times New Roman" w:hAnsi="Helvetica" w:cs="Times New Roman"/>
          <w:sz w:val="22"/>
          <w:lang w:eastAsia="en-GB"/>
        </w:rPr>
        <w:t xml:space="preserve"> purposes</w:t>
      </w:r>
      <w:r w:rsidRPr="00B44120">
        <w:rPr>
          <w:rFonts w:ascii="Helvetica" w:eastAsia="Times New Roman" w:hAnsi="Helvetica" w:cs="Times New Roman"/>
          <w:sz w:val="22"/>
          <w:lang w:eastAsia="en-GB"/>
        </w:rPr>
        <w:t xml:space="preserve">, all the recycled fibre, filler and resin have been converted to </w:t>
      </w:r>
      <w:r w:rsidR="00B36FC0">
        <w:rPr>
          <w:rFonts w:ascii="Helvetica" w:eastAsia="Times New Roman" w:hAnsi="Helvetica" w:cs="Times New Roman"/>
          <w:sz w:val="22"/>
          <w:lang w:eastAsia="en-GB"/>
        </w:rPr>
        <w:t xml:space="preserve">equivalent </w:t>
      </w:r>
      <w:r w:rsidR="00B36FC0" w:rsidRPr="00B44120">
        <w:rPr>
          <w:rFonts w:ascii="Helvetica" w:eastAsia="Times New Roman" w:hAnsi="Helvetica" w:cs="Times New Roman"/>
          <w:sz w:val="22"/>
          <w:lang w:eastAsia="en-GB"/>
        </w:rPr>
        <w:t>energ</w:t>
      </w:r>
      <w:r w:rsidR="00B36FC0">
        <w:rPr>
          <w:rFonts w:ascii="Helvetica" w:eastAsia="Times New Roman" w:hAnsi="Helvetica" w:cs="Times New Roman"/>
          <w:sz w:val="22"/>
          <w:lang w:eastAsia="en-GB"/>
        </w:rPr>
        <w:t>y values</w:t>
      </w:r>
      <w:r w:rsidR="00B36FC0"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in the recycling benefits estimation.</w:t>
      </w:r>
    </w:p>
    <w:p w14:paraId="260B5E75" w14:textId="17E7E567" w:rsidR="00B44120" w:rsidRPr="00B44120" w:rsidRDefault="00B723B4" w:rsidP="00B44120">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T</w:t>
      </w:r>
      <w:r w:rsidRPr="00B44120">
        <w:rPr>
          <w:rFonts w:ascii="Helvetica" w:eastAsia="Times New Roman" w:hAnsi="Helvetica" w:cs="Times New Roman"/>
          <w:sz w:val="22"/>
          <w:lang w:eastAsia="en-GB"/>
        </w:rPr>
        <w:t>he overall recyclate benefits</w:t>
      </w:r>
      <w:r>
        <w:rPr>
          <w:rFonts w:ascii="Helvetica" w:eastAsia="Times New Roman" w:hAnsi="Helvetica" w:cs="Times New Roman"/>
          <w:sz w:val="22"/>
          <w:lang w:eastAsia="en-GB"/>
        </w:rPr>
        <w:t xml:space="preserve"> are calculated by combining</w:t>
      </w:r>
      <w:r w:rsidR="00B44120" w:rsidRPr="00B44120">
        <w:rPr>
          <w:rFonts w:ascii="Helvetica" w:eastAsia="Times New Roman" w:hAnsi="Helvetica" w:cs="Times New Roman"/>
          <w:sz w:val="22"/>
          <w:lang w:eastAsia="en-GB"/>
        </w:rPr>
        <w:t xml:space="preserve"> the unit recycling benefits</w:t>
      </w:r>
      <w:r>
        <w:rPr>
          <w:rFonts w:ascii="Helvetica" w:eastAsia="Times New Roman" w:hAnsi="Helvetica" w:cs="Times New Roman"/>
          <w:sz w:val="22"/>
          <w:lang w:eastAsia="en-GB"/>
        </w:rPr>
        <w:t xml:space="preserve"> with</w:t>
      </w:r>
      <w:r w:rsidR="00B44120" w:rsidRPr="00B44120">
        <w:rPr>
          <w:rFonts w:ascii="Helvetica" w:eastAsia="Times New Roman" w:hAnsi="Helvetica" w:cs="Times New Roman"/>
          <w:sz w:val="22"/>
          <w:lang w:eastAsia="en-GB"/>
        </w:rPr>
        <w:t xml:space="preserve"> the </w:t>
      </w:r>
      <w:r w:rsidRPr="00B44120">
        <w:rPr>
          <w:rFonts w:ascii="Helvetica" w:eastAsia="Times New Roman" w:hAnsi="Helvetica" w:cs="Times New Roman"/>
          <w:sz w:val="22"/>
          <w:lang w:eastAsia="en-GB"/>
        </w:rPr>
        <w:t>recycling</w:t>
      </w:r>
      <w:r>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yield rate. </w:t>
      </w:r>
      <w:r w:rsidR="00004C5C">
        <w:rPr>
          <w:rFonts w:ascii="Helvetica" w:eastAsia="Times New Roman" w:hAnsi="Helvetica" w:cs="Times New Roman"/>
          <w:sz w:val="22"/>
          <w:lang w:eastAsia="en-GB"/>
        </w:rPr>
        <w:t>F</w:t>
      </w:r>
      <w:r w:rsidR="00B44120" w:rsidRPr="00B44120">
        <w:rPr>
          <w:rFonts w:ascii="Helvetica" w:eastAsia="Times New Roman" w:hAnsi="Helvetica" w:cs="Times New Roman" w:hint="eastAsia"/>
          <w:sz w:val="22"/>
          <w:lang w:eastAsia="en-GB"/>
        </w:rPr>
        <w:t>ibrous material yield rate</w:t>
      </w:r>
      <w:r w:rsidR="00B44120" w:rsidRPr="00B44120">
        <w:rPr>
          <w:rFonts w:ascii="Helvetica" w:eastAsia="Times New Roman" w:hAnsi="Helvetica" w:cs="Times New Roman"/>
          <w:sz w:val="22"/>
          <w:lang w:eastAsia="en-GB"/>
        </w:rPr>
        <w:t>s</w:t>
      </w:r>
      <w:r w:rsidR="00B44120" w:rsidRPr="00B44120">
        <w:rPr>
          <w:rFonts w:ascii="Helvetica" w:eastAsia="Times New Roman" w:hAnsi="Helvetica" w:cs="Times New Roman" w:hint="eastAsia"/>
          <w:sz w:val="22"/>
          <w:lang w:eastAsia="en-GB"/>
        </w:rPr>
        <w:t xml:space="preserve"> </w:t>
      </w:r>
      <w:r w:rsidR="00B44120" w:rsidRPr="00B44120">
        <w:rPr>
          <w:rFonts w:ascii="Helvetica" w:eastAsia="Times New Roman" w:hAnsi="Helvetica" w:cs="Times New Roman"/>
          <w:sz w:val="22"/>
          <w:lang w:eastAsia="en-GB"/>
        </w:rPr>
        <w:t xml:space="preserve">by weight </w:t>
      </w:r>
      <w:r w:rsidR="00004C5C">
        <w:rPr>
          <w:rFonts w:ascii="Helvetica" w:eastAsia="Times New Roman" w:hAnsi="Helvetica" w:cs="Times New Roman"/>
          <w:sz w:val="22"/>
          <w:lang w:eastAsia="en-GB"/>
        </w:rPr>
        <w:t xml:space="preserve">from the literature are included in Table </w:t>
      </w:r>
      <w:r w:rsidR="00056BD5">
        <w:rPr>
          <w:rFonts w:ascii="Helvetica" w:eastAsia="Times New Roman" w:hAnsi="Helvetica" w:cs="Times New Roman"/>
          <w:sz w:val="22"/>
          <w:lang w:eastAsia="en-GB"/>
        </w:rPr>
        <w:t>6</w:t>
      </w:r>
      <w:r w:rsidR="00B44120" w:rsidRPr="00B44120">
        <w:rPr>
          <w:rFonts w:ascii="Helvetica" w:eastAsia="Times New Roman" w:hAnsi="Helvetica" w:cs="Times New Roman"/>
          <w:sz w:val="22"/>
          <w:lang w:eastAsia="en-GB"/>
        </w:rPr>
        <w:t xml:space="preserve">. No data for MAP has been found. As the mechanism of the MAP process is close to that of conventional pyrolysis, we assume the yield rate of fibrous product from MAP is the same as for conventional pyrolysis, namely 70%. The yield rate of recycled resin is assumed to be 100% </w:t>
      </w:r>
      <w:r w:rsidR="00107EB7" w:rsidRPr="00B44120">
        <w:rPr>
          <w:rFonts w:ascii="Helvetica" w:eastAsia="Times New Roman" w:hAnsi="Helvetica" w:cs="Times New Roman"/>
          <w:sz w:val="22"/>
          <w:lang w:eastAsia="en-GB"/>
        </w:rPr>
        <w:fldChar w:fldCharType="begin" w:fldLock="1"/>
      </w:r>
      <w:r w:rsidR="00A17B85">
        <w:rPr>
          <w:rFonts w:ascii="Helvetica" w:eastAsia="Times New Roman" w:hAnsi="Helvetica" w:cs="Times New Roman"/>
          <w:sz w:val="22"/>
          <w:lang w:eastAsia="en-GB"/>
        </w:rPr>
        <w:instrText>ADDIN CSL_CITATION {"citationItems":[{"id":"ITEM-1","itemData":{"author":[{"dropping-particle":"","family":"Keith","given":"Matther","non-dropping-particle":"","parse-names":false,"suffix":""}],"id":"ITEM-1","issued":{"date-parts":[["2017"]]},"publisher-place":"Cambridge","title":"PhD student working on solvolysis for recycling carbon fibre reinforced composites from University of Birmingham","type":"article"},"uris":["http://www.mendeley.com/documents/?uuid=eb197adc-5a04-4a01-af7c-f1ad4a5334a5"]}],"mendeley":{"formattedCitation":"(Keith, 2017)","plainTextFormattedCitation":"(Keith, 2017)","previouslyFormattedCitation":"(Keith, 2017)"},"properties":{"noteIndex":0},"schema":"https://github.com/citation-style-language/schema/raw/master/csl-citation.json"}</w:instrText>
      </w:r>
      <w:r w:rsidR="00107EB7" w:rsidRPr="00B44120">
        <w:rPr>
          <w:rFonts w:ascii="Helvetica" w:eastAsia="Times New Roman" w:hAnsi="Helvetica" w:cs="Times New Roman"/>
          <w:sz w:val="22"/>
          <w:lang w:eastAsia="en-GB"/>
        </w:rPr>
        <w:fldChar w:fldCharType="separate"/>
      </w:r>
      <w:r w:rsidR="00B27DC5" w:rsidRPr="00B27DC5">
        <w:rPr>
          <w:rFonts w:ascii="Helvetica" w:eastAsia="Times New Roman" w:hAnsi="Helvetica" w:cs="Times New Roman"/>
          <w:noProof/>
          <w:sz w:val="22"/>
          <w:lang w:eastAsia="en-GB"/>
        </w:rPr>
        <w:t>(Keith, 2017)</w:t>
      </w:r>
      <w:r w:rsidR="00107EB7" w:rsidRPr="00B44120">
        <w:rPr>
          <w:rFonts w:ascii="Helvetica" w:eastAsia="Times New Roman" w:hAnsi="Helvetica" w:cs="Times New Roman"/>
          <w:sz w:val="22"/>
          <w:lang w:eastAsia="en-GB"/>
        </w:rPr>
        <w:fldChar w:fldCharType="end"/>
      </w:r>
      <w:r w:rsidR="00B44120" w:rsidRPr="00B44120">
        <w:rPr>
          <w:rFonts w:ascii="Helvetica" w:eastAsia="Times New Roman" w:hAnsi="Helvetica" w:cs="Times New Roman"/>
          <w:sz w:val="22"/>
          <w:lang w:eastAsia="en-GB"/>
        </w:rPr>
        <w:t>.</w:t>
      </w:r>
    </w:p>
    <w:p w14:paraId="1D33717E" w14:textId="7D11F44B" w:rsidR="0022044B" w:rsidRDefault="00B44120" w:rsidP="00B44120">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t xml:space="preserve">All the blade waste recycling processes need </w:t>
      </w:r>
      <w:r w:rsidR="009406B5">
        <w:rPr>
          <w:rFonts w:ascii="Helvetica" w:eastAsia="Times New Roman" w:hAnsi="Helvetica" w:cs="Times New Roman"/>
          <w:sz w:val="22"/>
          <w:lang w:eastAsia="en-GB"/>
        </w:rPr>
        <w:t xml:space="preserve">at least one, but often </w:t>
      </w:r>
      <w:r w:rsidRPr="00B44120">
        <w:rPr>
          <w:rFonts w:ascii="Helvetica" w:eastAsia="Times New Roman" w:hAnsi="Helvetica" w:cs="Times New Roman"/>
          <w:sz w:val="22"/>
          <w:lang w:eastAsia="en-GB"/>
        </w:rPr>
        <w:t xml:space="preserve">multiple stages of size reduction beforehand.  Typically, some material is lost during these stages. No figures have been found in the literature. We conservatively assume that 5% of all materials (fibre and resin) is lost </w:t>
      </w:r>
      <w:r w:rsidR="00F42787">
        <w:rPr>
          <w:rFonts w:ascii="Helvetica" w:eastAsia="Times New Roman" w:hAnsi="Helvetica" w:cs="Times New Roman"/>
          <w:sz w:val="22"/>
          <w:lang w:eastAsia="en-GB"/>
        </w:rPr>
        <w:t>for</w:t>
      </w:r>
      <w:r w:rsidR="00F42787"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all recycling processes</w:t>
      </w:r>
      <w:r w:rsidR="00B723B4">
        <w:rPr>
          <w:rFonts w:ascii="Helvetica" w:eastAsia="Times New Roman" w:hAnsi="Helvetica" w:cs="Times New Roman"/>
          <w:sz w:val="22"/>
          <w:lang w:eastAsia="en-GB"/>
        </w:rPr>
        <w:t xml:space="preserve"> and this is included to obtain</w:t>
      </w:r>
      <w:r w:rsidRPr="00B44120">
        <w:rPr>
          <w:rFonts w:ascii="Helvetica" w:eastAsia="Times New Roman" w:hAnsi="Helvetica" w:cs="Times New Roman"/>
          <w:sz w:val="22"/>
          <w:lang w:eastAsia="en-GB"/>
        </w:rPr>
        <w:t xml:space="preserve"> final yield rates for each recyclin</w:t>
      </w:r>
      <w:r w:rsidR="001D3AF8">
        <w:rPr>
          <w:rFonts w:ascii="Helvetica" w:eastAsia="Times New Roman" w:hAnsi="Helvetica" w:cs="Times New Roman"/>
          <w:sz w:val="22"/>
          <w:lang w:eastAsia="en-GB"/>
        </w:rPr>
        <w:t xml:space="preserve">g process (Table </w:t>
      </w:r>
      <w:r w:rsidR="00056BD5">
        <w:rPr>
          <w:rFonts w:ascii="Helvetica" w:eastAsia="Times New Roman" w:hAnsi="Helvetica" w:cs="Times New Roman"/>
          <w:sz w:val="22"/>
          <w:lang w:eastAsia="en-GB"/>
        </w:rPr>
        <w:t>6</w:t>
      </w:r>
      <w:r w:rsidRPr="00B44120">
        <w:rPr>
          <w:rFonts w:ascii="Helvetica" w:eastAsia="Times New Roman" w:hAnsi="Helvetica" w:cs="Times New Roman"/>
          <w:sz w:val="22"/>
          <w:lang w:eastAsia="en-GB"/>
        </w:rPr>
        <w:t>).</w:t>
      </w:r>
    </w:p>
    <w:p w14:paraId="00C8F7FA" w14:textId="77777777" w:rsidR="00001856" w:rsidRPr="00B44120" w:rsidRDefault="00001856" w:rsidP="00B865E3">
      <w:pPr>
        <w:jc w:val="left"/>
        <w:rPr>
          <w:rFonts w:ascii="Helvetica" w:eastAsia="Times New Roman" w:hAnsi="Helvetica" w:cs="Times New Roman"/>
          <w:sz w:val="22"/>
        </w:rPr>
      </w:pPr>
    </w:p>
    <w:tbl>
      <w:tblPr>
        <w:tblStyle w:val="TableGrid"/>
        <w:tblW w:w="9027" w:type="dxa"/>
        <w:tblBorders>
          <w:left w:val="none" w:sz="0" w:space="0" w:color="auto"/>
          <w:right w:val="none" w:sz="0" w:space="0" w:color="auto"/>
        </w:tblBorders>
        <w:tblLook w:val="04A0" w:firstRow="1" w:lastRow="0" w:firstColumn="1" w:lastColumn="0" w:noHBand="0" w:noVBand="1"/>
      </w:tblPr>
      <w:tblGrid>
        <w:gridCol w:w="2073"/>
        <w:gridCol w:w="1891"/>
        <w:gridCol w:w="2159"/>
        <w:gridCol w:w="1385"/>
        <w:gridCol w:w="1519"/>
      </w:tblGrid>
      <w:tr w:rsidR="00F42787" w:rsidRPr="002A6DBD" w14:paraId="7C907F13" w14:textId="77777777" w:rsidTr="00AF5A31">
        <w:trPr>
          <w:cnfStyle w:val="100000000000" w:firstRow="1" w:lastRow="0" w:firstColumn="0" w:lastColumn="0" w:oddVBand="0" w:evenVBand="0" w:oddHBand="0" w:evenHBand="0" w:firstRowFirstColumn="0" w:firstRowLastColumn="0" w:lastRowFirstColumn="0" w:lastRowLastColumn="0"/>
          <w:trHeight w:val="65"/>
        </w:trPr>
        <w:tc>
          <w:tcPr>
            <w:tcW w:w="2073" w:type="dxa"/>
          </w:tcPr>
          <w:p w14:paraId="5EB76950" w14:textId="77777777" w:rsidR="00F42787" w:rsidRPr="002A6DBD" w:rsidRDefault="00F42787" w:rsidP="009055C5">
            <w:pPr>
              <w:tabs>
                <w:tab w:val="left" w:pos="851"/>
              </w:tabs>
              <w:rPr>
                <w:rFonts w:ascii="Helvetica" w:eastAsia="Times New Roman" w:hAnsi="Helvetica"/>
              </w:rPr>
            </w:pPr>
          </w:p>
        </w:tc>
        <w:tc>
          <w:tcPr>
            <w:tcW w:w="1891" w:type="dxa"/>
          </w:tcPr>
          <w:p w14:paraId="3D50177A" w14:textId="77777777" w:rsidR="00F42787" w:rsidRPr="002A6DBD" w:rsidRDefault="00F42787" w:rsidP="009055C5">
            <w:pPr>
              <w:tabs>
                <w:tab w:val="left" w:pos="851"/>
              </w:tabs>
              <w:rPr>
                <w:rFonts w:ascii="Helvetica" w:eastAsia="Times New Roman" w:hAnsi="Helvetica"/>
              </w:rPr>
            </w:pPr>
            <w:r>
              <w:rPr>
                <w:rFonts w:ascii="Helvetica" w:eastAsia="Times New Roman" w:hAnsi="Helvetica"/>
              </w:rPr>
              <w:t>Lost during size reduction preparation</w:t>
            </w:r>
          </w:p>
        </w:tc>
        <w:tc>
          <w:tcPr>
            <w:tcW w:w="2159" w:type="dxa"/>
          </w:tcPr>
          <w:p w14:paraId="44A16EFF" w14:textId="77777777" w:rsidR="00F42787" w:rsidRPr="002A6DBD" w:rsidRDefault="00F42787" w:rsidP="009055C5">
            <w:pPr>
              <w:tabs>
                <w:tab w:val="left" w:pos="851"/>
              </w:tabs>
              <w:rPr>
                <w:rFonts w:ascii="Helvetica" w:eastAsia="Times New Roman" w:hAnsi="Helvetica"/>
              </w:rPr>
            </w:pPr>
            <w:r w:rsidRPr="002A6DBD">
              <w:rPr>
                <w:rFonts w:ascii="Helvetica" w:eastAsia="Times New Roman" w:hAnsi="Helvetica"/>
              </w:rPr>
              <w:t>Fibrous recyclate yield rate</w:t>
            </w:r>
          </w:p>
        </w:tc>
        <w:tc>
          <w:tcPr>
            <w:tcW w:w="1385" w:type="dxa"/>
          </w:tcPr>
          <w:p w14:paraId="002C1803" w14:textId="77777777" w:rsidR="00F42787" w:rsidRPr="002A6DBD" w:rsidRDefault="00F42787" w:rsidP="009055C5">
            <w:pPr>
              <w:tabs>
                <w:tab w:val="left" w:pos="851"/>
              </w:tabs>
              <w:rPr>
                <w:rFonts w:ascii="Helvetica" w:eastAsia="Times New Roman" w:hAnsi="Helvetica"/>
              </w:rPr>
            </w:pPr>
            <w:r w:rsidRPr="002A6DBD">
              <w:rPr>
                <w:rFonts w:ascii="Helvetica" w:eastAsia="Times New Roman" w:hAnsi="Helvetica"/>
              </w:rPr>
              <w:t>Final yield rate</w:t>
            </w:r>
          </w:p>
        </w:tc>
        <w:tc>
          <w:tcPr>
            <w:tcW w:w="1519" w:type="dxa"/>
          </w:tcPr>
          <w:p w14:paraId="36A1E9BB" w14:textId="77777777" w:rsidR="00F42787" w:rsidRPr="002A6DBD" w:rsidRDefault="00F42787" w:rsidP="009055C5">
            <w:pPr>
              <w:tabs>
                <w:tab w:val="left" w:pos="851"/>
              </w:tabs>
              <w:rPr>
                <w:rFonts w:ascii="Helvetica" w:eastAsia="Times New Roman" w:hAnsi="Helvetica"/>
              </w:rPr>
            </w:pPr>
            <w:r w:rsidRPr="002A6DBD">
              <w:rPr>
                <w:rFonts w:ascii="Helvetica" w:eastAsia="Times New Roman" w:hAnsi="Helvetica"/>
              </w:rPr>
              <w:t>Source</w:t>
            </w:r>
          </w:p>
        </w:tc>
      </w:tr>
      <w:tr w:rsidR="00F42787" w:rsidRPr="002A6DBD" w14:paraId="5479B09E" w14:textId="77777777" w:rsidTr="00AF5A31">
        <w:trPr>
          <w:trHeight w:val="576"/>
        </w:trPr>
        <w:tc>
          <w:tcPr>
            <w:tcW w:w="2073" w:type="dxa"/>
          </w:tcPr>
          <w:p w14:paraId="4E6809D1" w14:textId="77777777" w:rsidR="00F42787" w:rsidRPr="002A6DBD" w:rsidRDefault="00F42787" w:rsidP="0022044B">
            <w:pPr>
              <w:tabs>
                <w:tab w:val="left" w:pos="851"/>
              </w:tabs>
              <w:jc w:val="left"/>
              <w:rPr>
                <w:rFonts w:ascii="Helvetica" w:eastAsia="Times New Roman" w:hAnsi="Helvetica"/>
                <w:sz w:val="20"/>
                <w:szCs w:val="20"/>
              </w:rPr>
            </w:pPr>
            <w:r w:rsidRPr="002A6DBD">
              <w:rPr>
                <w:rFonts w:ascii="Helvetica" w:eastAsia="Times New Roman" w:hAnsi="Helvetica"/>
                <w:sz w:val="20"/>
                <w:szCs w:val="20"/>
              </w:rPr>
              <w:t>Mechanical</w:t>
            </w:r>
          </w:p>
        </w:tc>
        <w:tc>
          <w:tcPr>
            <w:tcW w:w="1891" w:type="dxa"/>
            <w:vMerge w:val="restart"/>
          </w:tcPr>
          <w:p w14:paraId="084D71F8"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5%</w:t>
            </w:r>
          </w:p>
        </w:tc>
        <w:tc>
          <w:tcPr>
            <w:tcW w:w="2159" w:type="dxa"/>
          </w:tcPr>
          <w:p w14:paraId="1E19DECF"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58%</w:t>
            </w:r>
          </w:p>
        </w:tc>
        <w:tc>
          <w:tcPr>
            <w:tcW w:w="1385" w:type="dxa"/>
          </w:tcPr>
          <w:p w14:paraId="61856903"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55%</w:t>
            </w:r>
          </w:p>
        </w:tc>
        <w:tc>
          <w:tcPr>
            <w:tcW w:w="1519" w:type="dxa"/>
          </w:tcPr>
          <w:p w14:paraId="561A92AC"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Palmer 2009</w:t>
            </w:r>
          </w:p>
        </w:tc>
      </w:tr>
      <w:tr w:rsidR="00F42787" w:rsidRPr="002A6DBD" w14:paraId="4A06277A" w14:textId="77777777" w:rsidTr="00AF5A31">
        <w:trPr>
          <w:trHeight w:val="576"/>
        </w:trPr>
        <w:tc>
          <w:tcPr>
            <w:tcW w:w="2073" w:type="dxa"/>
          </w:tcPr>
          <w:p w14:paraId="5B7978F6" w14:textId="77777777" w:rsidR="00F42787" w:rsidRPr="002A6DBD" w:rsidRDefault="00F42787" w:rsidP="0022044B">
            <w:pPr>
              <w:tabs>
                <w:tab w:val="left" w:pos="851"/>
              </w:tabs>
              <w:jc w:val="left"/>
              <w:rPr>
                <w:rFonts w:ascii="Helvetica" w:eastAsia="Times New Roman" w:hAnsi="Helvetica"/>
                <w:sz w:val="20"/>
                <w:szCs w:val="20"/>
              </w:rPr>
            </w:pPr>
            <w:r w:rsidRPr="002A6DBD">
              <w:rPr>
                <w:rFonts w:ascii="Helvetica" w:eastAsia="Times New Roman" w:hAnsi="Helvetica"/>
                <w:sz w:val="20"/>
                <w:szCs w:val="20"/>
              </w:rPr>
              <w:t>Fluidised Bed GF</w:t>
            </w:r>
          </w:p>
        </w:tc>
        <w:tc>
          <w:tcPr>
            <w:tcW w:w="1891" w:type="dxa"/>
            <w:vMerge/>
          </w:tcPr>
          <w:p w14:paraId="5E224DDB" w14:textId="77777777" w:rsidR="00F42787" w:rsidRPr="002A6DBD" w:rsidRDefault="00F42787" w:rsidP="009055C5">
            <w:pPr>
              <w:tabs>
                <w:tab w:val="left" w:pos="851"/>
              </w:tabs>
              <w:rPr>
                <w:rFonts w:ascii="Helvetica" w:eastAsia="Times New Roman" w:hAnsi="Helvetica"/>
                <w:sz w:val="20"/>
                <w:szCs w:val="20"/>
              </w:rPr>
            </w:pPr>
          </w:p>
        </w:tc>
        <w:tc>
          <w:tcPr>
            <w:tcW w:w="2159" w:type="dxa"/>
          </w:tcPr>
          <w:p w14:paraId="6511B840"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44%</w:t>
            </w:r>
          </w:p>
        </w:tc>
        <w:tc>
          <w:tcPr>
            <w:tcW w:w="1385" w:type="dxa"/>
          </w:tcPr>
          <w:p w14:paraId="73D66C74"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42%</w:t>
            </w:r>
          </w:p>
        </w:tc>
        <w:tc>
          <w:tcPr>
            <w:tcW w:w="1519" w:type="dxa"/>
          </w:tcPr>
          <w:p w14:paraId="040B8BFD"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Pickering 2000</w:t>
            </w:r>
          </w:p>
        </w:tc>
      </w:tr>
      <w:tr w:rsidR="00F42787" w:rsidRPr="002A6DBD" w14:paraId="28EA6329" w14:textId="77777777" w:rsidTr="00AF5A31">
        <w:trPr>
          <w:trHeight w:val="576"/>
        </w:trPr>
        <w:tc>
          <w:tcPr>
            <w:tcW w:w="2073" w:type="dxa"/>
          </w:tcPr>
          <w:p w14:paraId="6925407F" w14:textId="77777777" w:rsidR="00F42787" w:rsidRPr="002A6DBD" w:rsidRDefault="00F42787" w:rsidP="0022044B">
            <w:pPr>
              <w:tabs>
                <w:tab w:val="left" w:pos="851"/>
              </w:tabs>
              <w:jc w:val="left"/>
              <w:rPr>
                <w:rFonts w:ascii="Helvetica" w:eastAsia="Times New Roman" w:hAnsi="Helvetica"/>
                <w:sz w:val="20"/>
                <w:szCs w:val="20"/>
              </w:rPr>
            </w:pPr>
            <w:r w:rsidRPr="002A6DBD">
              <w:rPr>
                <w:rFonts w:ascii="Helvetica" w:eastAsia="Times New Roman" w:hAnsi="Helvetica"/>
                <w:sz w:val="20"/>
                <w:szCs w:val="20"/>
              </w:rPr>
              <w:t>Fluidised Bed CF</w:t>
            </w:r>
          </w:p>
        </w:tc>
        <w:tc>
          <w:tcPr>
            <w:tcW w:w="1891" w:type="dxa"/>
            <w:vMerge/>
          </w:tcPr>
          <w:p w14:paraId="5528256C" w14:textId="77777777" w:rsidR="00F42787" w:rsidRPr="002A6DBD" w:rsidRDefault="00F42787" w:rsidP="009055C5">
            <w:pPr>
              <w:tabs>
                <w:tab w:val="left" w:pos="851"/>
              </w:tabs>
              <w:rPr>
                <w:rFonts w:ascii="Helvetica" w:eastAsia="Times New Roman" w:hAnsi="Helvetica"/>
                <w:sz w:val="20"/>
                <w:szCs w:val="20"/>
              </w:rPr>
            </w:pPr>
          </w:p>
        </w:tc>
        <w:tc>
          <w:tcPr>
            <w:tcW w:w="2159" w:type="dxa"/>
          </w:tcPr>
          <w:p w14:paraId="00307F8C" w14:textId="77777777" w:rsidR="00F42787" w:rsidRPr="002A6DBD" w:rsidRDefault="00995170" w:rsidP="009055C5">
            <w:pPr>
              <w:tabs>
                <w:tab w:val="left" w:pos="851"/>
              </w:tabs>
              <w:rPr>
                <w:rFonts w:ascii="Helvetica" w:eastAsia="Times New Roman" w:hAnsi="Helvetica"/>
                <w:sz w:val="20"/>
                <w:szCs w:val="20"/>
              </w:rPr>
            </w:pPr>
            <w:r>
              <w:rPr>
                <w:rFonts w:ascii="Helvetica" w:eastAsia="Times New Roman" w:hAnsi="Helvetica"/>
                <w:sz w:val="20"/>
                <w:szCs w:val="20"/>
              </w:rPr>
              <w:t>9</w:t>
            </w:r>
            <w:r w:rsidR="00F42787" w:rsidRPr="002A6DBD">
              <w:rPr>
                <w:rFonts w:ascii="Helvetica" w:eastAsia="Times New Roman" w:hAnsi="Helvetica"/>
                <w:sz w:val="20"/>
                <w:szCs w:val="20"/>
              </w:rPr>
              <w:t>0%</w:t>
            </w:r>
          </w:p>
        </w:tc>
        <w:tc>
          <w:tcPr>
            <w:tcW w:w="1385" w:type="dxa"/>
          </w:tcPr>
          <w:p w14:paraId="5F99D322" w14:textId="77777777" w:rsidR="00F42787" w:rsidRPr="002A6DBD" w:rsidRDefault="00995170" w:rsidP="009055C5">
            <w:pPr>
              <w:tabs>
                <w:tab w:val="left" w:pos="851"/>
              </w:tabs>
              <w:rPr>
                <w:rFonts w:ascii="Helvetica" w:eastAsia="Times New Roman" w:hAnsi="Helvetica"/>
                <w:sz w:val="20"/>
                <w:szCs w:val="20"/>
              </w:rPr>
            </w:pPr>
            <w:r>
              <w:rPr>
                <w:rFonts w:ascii="Helvetica" w:eastAsia="Times New Roman" w:hAnsi="Helvetica"/>
                <w:sz w:val="20"/>
                <w:szCs w:val="20"/>
              </w:rPr>
              <w:t>86</w:t>
            </w:r>
            <w:r w:rsidR="00F42787" w:rsidRPr="002A6DBD">
              <w:rPr>
                <w:rFonts w:ascii="Helvetica" w:eastAsia="Times New Roman" w:hAnsi="Helvetica"/>
                <w:sz w:val="20"/>
                <w:szCs w:val="20"/>
              </w:rPr>
              <w:t>%</w:t>
            </w:r>
          </w:p>
        </w:tc>
        <w:tc>
          <w:tcPr>
            <w:tcW w:w="1519" w:type="dxa"/>
          </w:tcPr>
          <w:p w14:paraId="2B459ED0" w14:textId="77777777" w:rsidR="00F42787" w:rsidRPr="00E74B13" w:rsidRDefault="00995170" w:rsidP="009055C5">
            <w:pPr>
              <w:tabs>
                <w:tab w:val="left" w:pos="851"/>
              </w:tabs>
              <w:rPr>
                <w:rFonts w:ascii="Helvetica" w:eastAsia="Times New Roman" w:hAnsi="Helvetica"/>
                <w:color w:val="000000" w:themeColor="text1"/>
                <w:sz w:val="20"/>
                <w:szCs w:val="20"/>
              </w:rPr>
            </w:pPr>
            <w:r w:rsidRPr="00E74B13">
              <w:rPr>
                <w:rFonts w:ascii="Helvetica" w:eastAsia="Times New Roman" w:hAnsi="Helvetica" w:hint="eastAsia"/>
                <w:color w:val="000000" w:themeColor="text1"/>
                <w:sz w:val="20"/>
                <w:szCs w:val="20"/>
                <w:lang w:eastAsia="zh-CN"/>
              </w:rPr>
              <w:t>Meng</w:t>
            </w:r>
            <w:r w:rsidRPr="00E74B13">
              <w:rPr>
                <w:rFonts w:ascii="Helvetica" w:eastAsia="Times New Roman" w:hAnsi="Helvetica"/>
                <w:color w:val="000000" w:themeColor="text1"/>
                <w:sz w:val="20"/>
                <w:szCs w:val="20"/>
                <w:lang w:eastAsia="zh-CN"/>
              </w:rPr>
              <w:t xml:space="preserve"> 2017</w:t>
            </w:r>
          </w:p>
        </w:tc>
      </w:tr>
      <w:tr w:rsidR="00F42787" w:rsidRPr="002A6DBD" w14:paraId="1F93A451" w14:textId="77777777" w:rsidTr="00AF5A31">
        <w:trPr>
          <w:trHeight w:val="576"/>
        </w:trPr>
        <w:tc>
          <w:tcPr>
            <w:tcW w:w="2073" w:type="dxa"/>
          </w:tcPr>
          <w:p w14:paraId="42EAEE51" w14:textId="77777777" w:rsidR="00F42787" w:rsidRPr="002A6DBD" w:rsidRDefault="00F42787" w:rsidP="0022044B">
            <w:pPr>
              <w:tabs>
                <w:tab w:val="left" w:pos="851"/>
              </w:tabs>
              <w:jc w:val="left"/>
              <w:rPr>
                <w:rFonts w:ascii="Helvetica" w:eastAsia="Times New Roman" w:hAnsi="Helvetica"/>
                <w:sz w:val="20"/>
                <w:szCs w:val="20"/>
              </w:rPr>
            </w:pPr>
            <w:r w:rsidRPr="002A6DBD">
              <w:rPr>
                <w:rFonts w:ascii="Helvetica" w:eastAsia="Times New Roman" w:hAnsi="Helvetica"/>
                <w:sz w:val="20"/>
                <w:szCs w:val="20"/>
              </w:rPr>
              <w:t xml:space="preserve">Pyrolysis and </w:t>
            </w:r>
            <w:r w:rsidR="005F3D6F" w:rsidRPr="005F3D6F">
              <w:rPr>
                <w:rFonts w:ascii="Helvetica" w:eastAsia="Times New Roman" w:hAnsi="Helvetica"/>
                <w:sz w:val="20"/>
                <w:szCs w:val="20"/>
              </w:rPr>
              <w:t>Microwave Assisted Pyrolysis</w:t>
            </w:r>
          </w:p>
        </w:tc>
        <w:tc>
          <w:tcPr>
            <w:tcW w:w="1891" w:type="dxa"/>
            <w:vMerge/>
          </w:tcPr>
          <w:p w14:paraId="49C56BC6" w14:textId="77777777" w:rsidR="00F42787" w:rsidRPr="002A6DBD" w:rsidRDefault="00F42787" w:rsidP="009055C5">
            <w:pPr>
              <w:tabs>
                <w:tab w:val="left" w:pos="851"/>
              </w:tabs>
              <w:rPr>
                <w:rFonts w:ascii="Helvetica" w:eastAsia="Times New Roman" w:hAnsi="Helvetica"/>
                <w:sz w:val="20"/>
                <w:szCs w:val="20"/>
              </w:rPr>
            </w:pPr>
          </w:p>
        </w:tc>
        <w:tc>
          <w:tcPr>
            <w:tcW w:w="2159" w:type="dxa"/>
          </w:tcPr>
          <w:p w14:paraId="35C4564F"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70%</w:t>
            </w:r>
          </w:p>
        </w:tc>
        <w:tc>
          <w:tcPr>
            <w:tcW w:w="1385" w:type="dxa"/>
          </w:tcPr>
          <w:p w14:paraId="482FE433"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67%</w:t>
            </w:r>
          </w:p>
        </w:tc>
        <w:tc>
          <w:tcPr>
            <w:tcW w:w="1519" w:type="dxa"/>
          </w:tcPr>
          <w:p w14:paraId="705247A6" w14:textId="77777777" w:rsidR="00F42787" w:rsidRPr="002A6DBD" w:rsidRDefault="00F42787" w:rsidP="009055C5">
            <w:pPr>
              <w:tabs>
                <w:tab w:val="left" w:pos="851"/>
              </w:tabs>
              <w:rPr>
                <w:rFonts w:ascii="Helvetica" w:eastAsia="Times New Roman" w:hAnsi="Helvetica"/>
                <w:sz w:val="20"/>
                <w:szCs w:val="20"/>
              </w:rPr>
            </w:pPr>
            <w:proofErr w:type="spellStart"/>
            <w:r w:rsidRPr="002A6DBD">
              <w:rPr>
                <w:rFonts w:ascii="Helvetica" w:eastAsia="Times New Roman" w:hAnsi="Helvetica"/>
                <w:sz w:val="20"/>
                <w:szCs w:val="20"/>
              </w:rPr>
              <w:t>Cunliffe</w:t>
            </w:r>
            <w:proofErr w:type="spellEnd"/>
            <w:r w:rsidRPr="002A6DBD">
              <w:rPr>
                <w:rFonts w:ascii="Helvetica" w:eastAsia="Times New Roman" w:hAnsi="Helvetica"/>
                <w:sz w:val="20"/>
                <w:szCs w:val="20"/>
              </w:rPr>
              <w:t xml:space="preserve"> 2003</w:t>
            </w:r>
          </w:p>
        </w:tc>
      </w:tr>
      <w:tr w:rsidR="00F42787" w:rsidRPr="002A6DBD" w14:paraId="165EFC2B" w14:textId="77777777" w:rsidTr="00AF5A31">
        <w:trPr>
          <w:trHeight w:val="576"/>
        </w:trPr>
        <w:tc>
          <w:tcPr>
            <w:tcW w:w="2073" w:type="dxa"/>
          </w:tcPr>
          <w:p w14:paraId="7E137863" w14:textId="77777777" w:rsidR="00F42787" w:rsidRPr="002A6DBD" w:rsidRDefault="00F42787" w:rsidP="0022044B">
            <w:pPr>
              <w:tabs>
                <w:tab w:val="left" w:pos="851"/>
              </w:tabs>
              <w:jc w:val="left"/>
              <w:rPr>
                <w:rFonts w:ascii="Helvetica" w:eastAsia="Times New Roman" w:hAnsi="Helvetica"/>
                <w:sz w:val="20"/>
                <w:szCs w:val="20"/>
              </w:rPr>
            </w:pPr>
            <w:r w:rsidRPr="002A6DBD">
              <w:rPr>
                <w:rFonts w:ascii="Helvetica" w:eastAsia="Times New Roman" w:hAnsi="Helvetica"/>
                <w:sz w:val="20"/>
                <w:szCs w:val="20"/>
              </w:rPr>
              <w:t>Chemical</w:t>
            </w:r>
          </w:p>
        </w:tc>
        <w:tc>
          <w:tcPr>
            <w:tcW w:w="1891" w:type="dxa"/>
            <w:vMerge/>
          </w:tcPr>
          <w:p w14:paraId="4BFE5A50" w14:textId="77777777" w:rsidR="00F42787" w:rsidRPr="002A6DBD" w:rsidRDefault="00F42787" w:rsidP="009055C5">
            <w:pPr>
              <w:tabs>
                <w:tab w:val="left" w:pos="851"/>
              </w:tabs>
              <w:rPr>
                <w:rFonts w:ascii="Helvetica" w:eastAsia="Times New Roman" w:hAnsi="Helvetica"/>
                <w:sz w:val="20"/>
                <w:szCs w:val="20"/>
              </w:rPr>
            </w:pPr>
          </w:p>
        </w:tc>
        <w:tc>
          <w:tcPr>
            <w:tcW w:w="2159" w:type="dxa"/>
          </w:tcPr>
          <w:p w14:paraId="77DB7BB6"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100%</w:t>
            </w:r>
          </w:p>
        </w:tc>
        <w:tc>
          <w:tcPr>
            <w:tcW w:w="1385" w:type="dxa"/>
          </w:tcPr>
          <w:p w14:paraId="3A25EE5A"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95%</w:t>
            </w:r>
          </w:p>
        </w:tc>
        <w:tc>
          <w:tcPr>
            <w:tcW w:w="1519" w:type="dxa"/>
          </w:tcPr>
          <w:p w14:paraId="5C35C8A3"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Keith 2016</w:t>
            </w:r>
          </w:p>
        </w:tc>
      </w:tr>
      <w:tr w:rsidR="00F42787" w:rsidRPr="002A6DBD" w14:paraId="7C80E7DA" w14:textId="77777777" w:rsidTr="00AF5A31">
        <w:trPr>
          <w:trHeight w:val="576"/>
        </w:trPr>
        <w:tc>
          <w:tcPr>
            <w:tcW w:w="2073" w:type="dxa"/>
          </w:tcPr>
          <w:p w14:paraId="54FCC720" w14:textId="77777777" w:rsidR="00F42787" w:rsidRPr="002A6DBD" w:rsidRDefault="005F3D6F" w:rsidP="0022044B">
            <w:pPr>
              <w:tabs>
                <w:tab w:val="left" w:pos="851"/>
              </w:tabs>
              <w:jc w:val="left"/>
              <w:rPr>
                <w:rFonts w:ascii="Helvetica" w:eastAsia="Times New Roman" w:hAnsi="Helvetica"/>
                <w:sz w:val="20"/>
                <w:szCs w:val="20"/>
              </w:rPr>
            </w:pPr>
            <w:r w:rsidRPr="005F3D6F">
              <w:rPr>
                <w:rFonts w:ascii="Helvetica" w:eastAsia="Times New Roman" w:hAnsi="Helvetica"/>
                <w:sz w:val="20"/>
                <w:szCs w:val="20"/>
              </w:rPr>
              <w:t>High Voltage Fragmentation</w:t>
            </w:r>
          </w:p>
        </w:tc>
        <w:tc>
          <w:tcPr>
            <w:tcW w:w="1891" w:type="dxa"/>
            <w:vMerge/>
          </w:tcPr>
          <w:p w14:paraId="006FF7BC" w14:textId="77777777" w:rsidR="00F42787" w:rsidRPr="002A6DBD" w:rsidRDefault="00F42787" w:rsidP="009055C5">
            <w:pPr>
              <w:tabs>
                <w:tab w:val="left" w:pos="851"/>
              </w:tabs>
              <w:rPr>
                <w:rFonts w:ascii="Helvetica" w:eastAsia="Times New Roman" w:hAnsi="Helvetica"/>
                <w:sz w:val="20"/>
                <w:szCs w:val="20"/>
              </w:rPr>
            </w:pPr>
          </w:p>
        </w:tc>
        <w:tc>
          <w:tcPr>
            <w:tcW w:w="2159" w:type="dxa"/>
          </w:tcPr>
          <w:p w14:paraId="627FAA5B"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60%</w:t>
            </w:r>
          </w:p>
        </w:tc>
        <w:tc>
          <w:tcPr>
            <w:tcW w:w="1385" w:type="dxa"/>
          </w:tcPr>
          <w:p w14:paraId="56B754B4" w14:textId="77777777" w:rsidR="00F42787" w:rsidRPr="002A6DBD" w:rsidRDefault="00F42787" w:rsidP="009055C5">
            <w:pPr>
              <w:tabs>
                <w:tab w:val="left" w:pos="851"/>
              </w:tabs>
              <w:rPr>
                <w:rFonts w:ascii="Helvetica" w:eastAsia="Times New Roman" w:hAnsi="Helvetica"/>
                <w:sz w:val="20"/>
                <w:szCs w:val="20"/>
              </w:rPr>
            </w:pPr>
            <w:r w:rsidRPr="002A6DBD">
              <w:rPr>
                <w:rFonts w:ascii="Helvetica" w:eastAsia="Times New Roman" w:hAnsi="Helvetica"/>
                <w:sz w:val="20"/>
                <w:szCs w:val="20"/>
              </w:rPr>
              <w:t>57%</w:t>
            </w:r>
          </w:p>
        </w:tc>
        <w:tc>
          <w:tcPr>
            <w:tcW w:w="1519" w:type="dxa"/>
          </w:tcPr>
          <w:p w14:paraId="5239550E" w14:textId="77777777" w:rsidR="00F42787" w:rsidRPr="002A6DBD" w:rsidRDefault="00F42787" w:rsidP="009055C5">
            <w:pPr>
              <w:keepNext/>
              <w:tabs>
                <w:tab w:val="left" w:pos="851"/>
              </w:tabs>
              <w:rPr>
                <w:rFonts w:ascii="Helvetica" w:eastAsia="Times New Roman" w:hAnsi="Helvetica"/>
                <w:sz w:val="20"/>
                <w:szCs w:val="20"/>
              </w:rPr>
            </w:pPr>
            <w:proofErr w:type="spellStart"/>
            <w:r w:rsidRPr="002A6DBD">
              <w:rPr>
                <w:rFonts w:ascii="Helvetica" w:eastAsia="Times New Roman" w:hAnsi="Helvetica"/>
                <w:sz w:val="20"/>
                <w:szCs w:val="20"/>
              </w:rPr>
              <w:t>Weh</w:t>
            </w:r>
            <w:proofErr w:type="spellEnd"/>
            <w:r w:rsidRPr="002A6DBD">
              <w:rPr>
                <w:rFonts w:ascii="Helvetica" w:eastAsia="Times New Roman" w:hAnsi="Helvetica"/>
                <w:sz w:val="20"/>
                <w:szCs w:val="20"/>
              </w:rPr>
              <w:t xml:space="preserve"> 2012</w:t>
            </w:r>
          </w:p>
        </w:tc>
      </w:tr>
    </w:tbl>
    <w:p w14:paraId="77270449" w14:textId="4594CCBB" w:rsidR="00B865E3" w:rsidRPr="00B865E3" w:rsidRDefault="00B44120" w:rsidP="00FF14B7">
      <w:pPr>
        <w:pStyle w:val="Caption"/>
      </w:pPr>
      <w:bookmarkStart w:id="6" w:name="_Toc486169608"/>
      <w:r w:rsidRPr="002A6DBD">
        <w:t xml:space="preserve">Table </w:t>
      </w:r>
      <w:r w:rsidR="00056BD5">
        <w:t>6</w:t>
      </w:r>
      <w:r w:rsidRPr="002A6DBD">
        <w:t xml:space="preserve">: </w:t>
      </w:r>
      <w:r w:rsidR="008A01CE">
        <w:t>Fibrous product yield rates for different r</w:t>
      </w:r>
      <w:r w:rsidRPr="002A6DBD">
        <w:t>ecycling processes.</w:t>
      </w:r>
      <w:bookmarkEnd w:id="6"/>
    </w:p>
    <w:p w14:paraId="076DF1E0" w14:textId="77777777" w:rsidR="00B44120" w:rsidRPr="002A6DBD" w:rsidRDefault="003C3AE4" w:rsidP="00B44120">
      <w:pPr>
        <w:pStyle w:val="Heading2"/>
      </w:pPr>
      <w:r>
        <w:t>Environmental impact model development</w:t>
      </w:r>
    </w:p>
    <w:p w14:paraId="1FE4DD3E" w14:textId="77777777" w:rsidR="00B44120" w:rsidRPr="00B44120" w:rsidRDefault="00B44120" w:rsidP="00B44120">
      <w:pPr>
        <w:tabs>
          <w:tab w:val="left" w:pos="851"/>
        </w:tabs>
        <w:spacing w:before="120" w:line="360" w:lineRule="auto"/>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The environmental </w:t>
      </w:r>
      <w:r w:rsidR="003C3AE4">
        <w:rPr>
          <w:rFonts w:ascii="Helvetica" w:eastAsia="Times New Roman" w:hAnsi="Helvetica" w:cs="Times New Roman"/>
          <w:sz w:val="22"/>
          <w:szCs w:val="22"/>
          <w:lang w:eastAsia="en-GB"/>
        </w:rPr>
        <w:t xml:space="preserve">impact </w:t>
      </w:r>
      <w:r w:rsidRPr="00B44120">
        <w:rPr>
          <w:rFonts w:ascii="Helvetica" w:eastAsia="Times New Roman" w:hAnsi="Helvetica" w:cs="Times New Roman"/>
          <w:sz w:val="22"/>
          <w:szCs w:val="22"/>
          <w:lang w:eastAsia="en-GB"/>
        </w:rPr>
        <w:t>model is constructed and calculated as follows:</w:t>
      </w:r>
    </w:p>
    <w:p w14:paraId="2A085636" w14:textId="77777777" w:rsidR="00B44120" w:rsidRPr="00B44120" w:rsidRDefault="00B44120" w:rsidP="00B44120">
      <w:pPr>
        <w:numPr>
          <w:ilvl w:val="0"/>
          <w:numId w:val="4"/>
        </w:numPr>
        <w:tabs>
          <w:tab w:val="left" w:pos="851"/>
        </w:tabs>
        <w:spacing w:before="120" w:line="360" w:lineRule="auto"/>
        <w:contextualSpacing/>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Net impact of a WT blade = </w:t>
      </w:r>
      <w:r w:rsidR="00F260E4">
        <w:rPr>
          <w:rFonts w:ascii="Helvetica" w:eastAsia="Times New Roman" w:hAnsi="Helvetica" w:cs="Times New Roman"/>
          <w:sz w:val="22"/>
          <w:szCs w:val="22"/>
          <w:lang w:eastAsia="en-GB"/>
        </w:rPr>
        <w:t>L</w:t>
      </w:r>
      <w:r w:rsidR="00F97C28">
        <w:rPr>
          <w:rFonts w:ascii="Helvetica" w:eastAsia="Times New Roman" w:hAnsi="Helvetica" w:cs="Times New Roman"/>
          <w:sz w:val="22"/>
          <w:szCs w:val="22"/>
          <w:lang w:eastAsia="en-GB"/>
        </w:rPr>
        <w:t xml:space="preserve">ifetime impact + </w:t>
      </w:r>
      <w:proofErr w:type="spellStart"/>
      <w:r w:rsidR="00F97C28">
        <w:rPr>
          <w:rFonts w:ascii="Helvetica" w:eastAsia="Times New Roman" w:hAnsi="Helvetica" w:cs="Times New Roman"/>
          <w:sz w:val="22"/>
          <w:szCs w:val="22"/>
          <w:lang w:eastAsia="en-GB"/>
        </w:rPr>
        <w:t>EoL</w:t>
      </w:r>
      <w:proofErr w:type="spellEnd"/>
      <w:r w:rsidR="00F97C28">
        <w:rPr>
          <w:rFonts w:ascii="Helvetica" w:eastAsia="Times New Roman" w:hAnsi="Helvetica" w:cs="Times New Roman"/>
          <w:sz w:val="22"/>
          <w:szCs w:val="22"/>
          <w:lang w:eastAsia="en-GB"/>
        </w:rPr>
        <w:t xml:space="preserve"> impact +</w:t>
      </w:r>
      <w:r w:rsidR="00517722">
        <w:rPr>
          <w:rFonts w:ascii="Helvetica" w:eastAsia="Times New Roman" w:hAnsi="Helvetica" w:cs="Times New Roman"/>
          <w:sz w:val="22"/>
          <w:szCs w:val="22"/>
          <w:lang w:eastAsia="en-GB"/>
        </w:rPr>
        <w:t xml:space="preserve"> </w:t>
      </w:r>
      <w:r w:rsidR="00517722">
        <w:rPr>
          <w:rFonts w:ascii="Helvetica" w:eastAsia="Times New Roman" w:hAnsi="Helvetica" w:cs="Times New Roman" w:hint="eastAsia"/>
          <w:sz w:val="22"/>
          <w:szCs w:val="22"/>
        </w:rPr>
        <w:t>R</w:t>
      </w:r>
      <w:r w:rsidRPr="00B44120">
        <w:rPr>
          <w:rFonts w:ascii="Helvetica" w:eastAsia="Times New Roman" w:hAnsi="Helvetica" w:cs="Times New Roman"/>
          <w:sz w:val="22"/>
          <w:szCs w:val="22"/>
          <w:lang w:eastAsia="en-GB"/>
        </w:rPr>
        <w:t>ecycling benefits</w:t>
      </w:r>
    </w:p>
    <w:p w14:paraId="1CE0226C" w14:textId="77777777" w:rsidR="00B44120" w:rsidRPr="00B44120" w:rsidRDefault="00F260E4" w:rsidP="00B44120">
      <w:pPr>
        <w:numPr>
          <w:ilvl w:val="0"/>
          <w:numId w:val="4"/>
        </w:numPr>
        <w:tabs>
          <w:tab w:val="left" w:pos="851"/>
        </w:tabs>
        <w:spacing w:before="120" w:line="360" w:lineRule="auto"/>
        <w:contextualSpacing/>
        <w:rPr>
          <w:rFonts w:ascii="Helvetica" w:eastAsia="Times New Roman" w:hAnsi="Helvetica" w:cs="Times New Roman"/>
          <w:sz w:val="22"/>
          <w:szCs w:val="22"/>
          <w:lang w:eastAsia="en-GB"/>
        </w:rPr>
      </w:pPr>
      <w:r>
        <w:rPr>
          <w:rFonts w:ascii="Helvetica" w:eastAsia="Times New Roman" w:hAnsi="Helvetica" w:cs="Times New Roman"/>
          <w:sz w:val="22"/>
          <w:szCs w:val="22"/>
          <w:lang w:eastAsia="en-GB"/>
        </w:rPr>
        <w:lastRenderedPageBreak/>
        <w:t>L</w:t>
      </w:r>
      <w:r w:rsidR="00B44120" w:rsidRPr="00B44120">
        <w:rPr>
          <w:rFonts w:ascii="Helvetica" w:eastAsia="Times New Roman" w:hAnsi="Helvetica" w:cs="Times New Roman"/>
          <w:sz w:val="22"/>
          <w:szCs w:val="22"/>
          <w:lang w:eastAsia="en-GB"/>
        </w:rPr>
        <w:t>ifetime impact = manufacture impact (materials and processing from BoM) + transportation impact (wind farm to recycling facility) + O&amp;M impact (material + workers’ transportation)</w:t>
      </w:r>
    </w:p>
    <w:p w14:paraId="5D9543AD" w14:textId="77777777" w:rsidR="00B44120" w:rsidRPr="00B44120" w:rsidRDefault="00B44120" w:rsidP="00B44120">
      <w:pPr>
        <w:numPr>
          <w:ilvl w:val="0"/>
          <w:numId w:val="4"/>
        </w:numPr>
        <w:tabs>
          <w:tab w:val="left" w:pos="851"/>
        </w:tabs>
        <w:spacing w:before="120" w:line="360" w:lineRule="auto"/>
        <w:contextualSpacing/>
        <w:rPr>
          <w:rFonts w:ascii="Helvetica" w:eastAsia="Times New Roman" w:hAnsi="Helvetica" w:cs="Times New Roman"/>
          <w:sz w:val="22"/>
          <w:szCs w:val="22"/>
          <w:lang w:eastAsia="en-GB"/>
        </w:rPr>
      </w:pPr>
      <w:proofErr w:type="spellStart"/>
      <w:r w:rsidRPr="00B44120">
        <w:rPr>
          <w:rFonts w:ascii="Helvetica" w:eastAsia="Times New Roman" w:hAnsi="Helvetica" w:cs="Times New Roman"/>
          <w:sz w:val="22"/>
          <w:szCs w:val="22"/>
          <w:lang w:eastAsia="en-GB"/>
        </w:rPr>
        <w:t>EoL</w:t>
      </w:r>
      <w:proofErr w:type="spellEnd"/>
      <w:r w:rsidRPr="00B44120">
        <w:rPr>
          <w:rFonts w:ascii="Helvetica" w:eastAsia="Times New Roman" w:hAnsi="Helvetica" w:cs="Times New Roman"/>
          <w:sz w:val="22"/>
          <w:szCs w:val="22"/>
          <w:lang w:eastAsia="en-GB"/>
        </w:rPr>
        <w:t xml:space="preserve"> impact = unit recycling processing energy (MJ/kg) * the amount of waste processed (kg)</w:t>
      </w:r>
      <w:r w:rsidR="008A2A1E">
        <w:rPr>
          <w:rFonts w:ascii="Helvetica" w:eastAsia="Times New Roman" w:hAnsi="Helvetica" w:cs="Times New Roman" w:hint="eastAsia"/>
          <w:sz w:val="22"/>
          <w:szCs w:val="22"/>
        </w:rPr>
        <w:t xml:space="preserve"> </w:t>
      </w:r>
    </w:p>
    <w:p w14:paraId="425237C3" w14:textId="77777777" w:rsidR="00B44120" w:rsidRPr="00B44120" w:rsidRDefault="00B44120" w:rsidP="00B44120">
      <w:pPr>
        <w:numPr>
          <w:ilvl w:val="0"/>
          <w:numId w:val="4"/>
        </w:numPr>
        <w:tabs>
          <w:tab w:val="left" w:pos="851"/>
        </w:tabs>
        <w:spacing w:before="120" w:line="360" w:lineRule="auto"/>
        <w:contextualSpacing/>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Recyclate/recycling benefits = -((</w:t>
      </w:r>
      <w:r w:rsidR="00F97C28" w:rsidRPr="00B44120">
        <w:rPr>
          <w:rFonts w:ascii="Helvetica" w:eastAsia="Times New Roman" w:hAnsi="Helvetica" w:cs="Times New Roman" w:hint="eastAsia"/>
          <w:sz w:val="22"/>
          <w:szCs w:val="22"/>
          <w:lang w:eastAsia="en-GB"/>
        </w:rPr>
        <w:t>vir</w:t>
      </w:r>
      <w:r w:rsidR="00F97C28" w:rsidRPr="00B44120">
        <w:rPr>
          <w:rFonts w:ascii="Helvetica" w:eastAsia="Times New Roman" w:hAnsi="Helvetica" w:cs="Times New Roman"/>
          <w:sz w:val="22"/>
          <w:szCs w:val="22"/>
          <w:lang w:eastAsia="en-GB"/>
        </w:rPr>
        <w:t>gin fibre embodied energy</w:t>
      </w:r>
      <w:r w:rsidR="00F97C28">
        <w:rPr>
          <w:rFonts w:ascii="Helvetica" w:eastAsia="Times New Roman" w:hAnsi="Helvetica" w:cs="Times New Roman"/>
          <w:sz w:val="22"/>
          <w:szCs w:val="22"/>
          <w:lang w:eastAsia="en-GB"/>
        </w:rPr>
        <w:t xml:space="preserve"> * </w:t>
      </w:r>
      <w:r w:rsidRPr="00B44120">
        <w:rPr>
          <w:rFonts w:ascii="Helvetica" w:eastAsia="Times New Roman" w:hAnsi="Helvetica" w:cs="Times New Roman"/>
          <w:sz w:val="22"/>
          <w:szCs w:val="22"/>
          <w:lang w:eastAsia="en-GB"/>
        </w:rPr>
        <w:t>recycled fibre performance</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fibre yield rate</w:t>
      </w:r>
      <w:r w:rsidR="00F97C28">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(100%</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post process energy) + (</w:t>
      </w:r>
      <w:r w:rsidR="00F97C28" w:rsidRPr="00B44120">
        <w:rPr>
          <w:rFonts w:ascii="Helvetica" w:eastAsia="Times New Roman" w:hAnsi="Helvetica" w:cs="Times New Roman" w:hint="eastAsia"/>
          <w:sz w:val="22"/>
          <w:szCs w:val="22"/>
          <w:lang w:eastAsia="en-GB"/>
        </w:rPr>
        <w:t>virgin</w:t>
      </w:r>
      <w:r w:rsidR="00F97C28" w:rsidRPr="00B44120">
        <w:rPr>
          <w:rFonts w:ascii="Helvetica" w:eastAsia="Times New Roman" w:hAnsi="Helvetica" w:cs="Times New Roman"/>
          <w:sz w:val="22"/>
          <w:szCs w:val="22"/>
          <w:lang w:eastAsia="en-GB"/>
        </w:rPr>
        <w:t xml:space="preserve"> resin embodied energy </w:t>
      </w:r>
      <w:r w:rsidR="00F97C28">
        <w:rPr>
          <w:rFonts w:ascii="Helvetica" w:eastAsia="Times New Roman" w:hAnsi="Helvetica" w:cs="Times New Roman"/>
          <w:sz w:val="22"/>
          <w:szCs w:val="22"/>
          <w:lang w:eastAsia="en-GB"/>
        </w:rPr>
        <w:t xml:space="preserve">* </w:t>
      </w:r>
      <w:r w:rsidRPr="00B44120">
        <w:rPr>
          <w:rFonts w:ascii="Helvetica" w:eastAsia="Times New Roman" w:hAnsi="Helvetica" w:cs="Times New Roman"/>
          <w:sz w:val="22"/>
          <w:szCs w:val="22"/>
          <w:lang w:eastAsia="en-GB"/>
        </w:rPr>
        <w:t>recycled resin performance</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w:t>
      </w:r>
      <w:r w:rsidRPr="00B44120">
        <w:rPr>
          <w:rFonts w:ascii="Helvetica" w:eastAsia="Times New Roman" w:hAnsi="Helvetica" w:cs="Times New Roman" w:hint="eastAsia"/>
          <w:sz w:val="22"/>
          <w:szCs w:val="22"/>
          <w:lang w:eastAsia="en-GB"/>
        </w:rPr>
        <w:t xml:space="preserve"> </w:t>
      </w:r>
      <w:r w:rsidRPr="00B44120">
        <w:rPr>
          <w:rFonts w:ascii="Helvetica" w:eastAsia="Times New Roman" w:hAnsi="Helvetica" w:cs="Times New Roman"/>
          <w:sz w:val="22"/>
          <w:szCs w:val="22"/>
          <w:lang w:eastAsia="en-GB"/>
        </w:rPr>
        <w:t>resin yield rate))* (100% - overall processing lost)</w:t>
      </w:r>
    </w:p>
    <w:p w14:paraId="67320D9A" w14:textId="77777777" w:rsidR="00B44120" w:rsidRPr="00B44120" w:rsidRDefault="00B44120" w:rsidP="00B44120">
      <w:pPr>
        <w:numPr>
          <w:ilvl w:val="0"/>
          <w:numId w:val="4"/>
        </w:numPr>
        <w:tabs>
          <w:tab w:val="left" w:pos="851"/>
        </w:tabs>
        <w:spacing w:before="120" w:line="360" w:lineRule="auto"/>
        <w:contextualSpacing/>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The recycled fibre performance is defined as the ratio of the tensile strength of recycled fibre to that of the virgin fibre.</w:t>
      </w:r>
    </w:p>
    <w:p w14:paraId="0640BE04" w14:textId="77777777" w:rsidR="00B44120" w:rsidRPr="00B44120" w:rsidRDefault="00B44120" w:rsidP="00B44120">
      <w:pPr>
        <w:numPr>
          <w:ilvl w:val="0"/>
          <w:numId w:val="4"/>
        </w:numPr>
        <w:tabs>
          <w:tab w:val="left" w:pos="851"/>
        </w:tabs>
        <w:spacing w:before="120" w:line="360" w:lineRule="auto"/>
        <w:contextualSpacing/>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For example (chemical recycling for the GF blade): </w:t>
      </w:r>
      <w:r w:rsidR="00E03567">
        <w:rPr>
          <w:rFonts w:ascii="Helvetica" w:eastAsia="Times New Roman" w:hAnsi="Helvetica" w:cs="Times New Roman"/>
          <w:sz w:val="22"/>
          <w:szCs w:val="22"/>
          <w:lang w:eastAsia="en-GB"/>
        </w:rPr>
        <w:t>V</w:t>
      </w:r>
      <w:r w:rsidRPr="00B44120">
        <w:rPr>
          <w:rFonts w:ascii="Helvetica" w:eastAsia="Times New Roman" w:hAnsi="Helvetica" w:cs="Times New Roman"/>
          <w:sz w:val="22"/>
          <w:szCs w:val="22"/>
          <w:lang w:eastAsia="en-GB"/>
        </w:rPr>
        <w:t>irgin resin</w:t>
      </w:r>
      <w:r w:rsidR="00E03567" w:rsidRPr="00B44120">
        <w:rPr>
          <w:rFonts w:ascii="Helvetica" w:eastAsia="Times New Roman" w:hAnsi="Helvetica" w:cs="Times New Roman"/>
          <w:sz w:val="22"/>
          <w:szCs w:val="22"/>
          <w:lang w:eastAsia="en-GB"/>
        </w:rPr>
        <w:t xml:space="preserve"> energy</w:t>
      </w:r>
      <w:r w:rsidRPr="00B44120">
        <w:rPr>
          <w:rFonts w:ascii="Helvetica" w:eastAsia="Times New Roman" w:hAnsi="Helvetica" w:cs="Times New Roman"/>
          <w:sz w:val="22"/>
          <w:szCs w:val="22"/>
          <w:lang w:eastAsia="en-GB"/>
        </w:rPr>
        <w:t xml:space="preserve"> = 312.1 GJ; virgin fibre</w:t>
      </w:r>
      <w:r w:rsidR="00E03567" w:rsidRPr="00B44120">
        <w:rPr>
          <w:rFonts w:ascii="Helvetica" w:eastAsia="Times New Roman" w:hAnsi="Helvetica" w:cs="Times New Roman"/>
          <w:sz w:val="22"/>
          <w:szCs w:val="22"/>
          <w:lang w:eastAsia="en-GB"/>
        </w:rPr>
        <w:t xml:space="preserve"> energy</w:t>
      </w:r>
      <w:r w:rsidRPr="00B44120">
        <w:rPr>
          <w:rFonts w:ascii="Helvetica" w:eastAsia="Times New Roman" w:hAnsi="Helvetica" w:cs="Times New Roman"/>
          <w:sz w:val="22"/>
          <w:szCs w:val="22"/>
          <w:lang w:eastAsia="en-GB"/>
        </w:rPr>
        <w:t xml:space="preserve"> = 237.1 GJ.</w:t>
      </w:r>
    </w:p>
    <w:p w14:paraId="7CC65699" w14:textId="77777777" w:rsidR="009D68D8" w:rsidRPr="00CC347B" w:rsidRDefault="00B44120" w:rsidP="00CC347B">
      <w:pPr>
        <w:tabs>
          <w:tab w:val="left" w:pos="851"/>
        </w:tabs>
        <w:spacing w:before="120" w:line="360" w:lineRule="auto"/>
        <w:ind w:left="720"/>
        <w:contextualSpacing/>
        <w:rPr>
          <w:rFonts w:ascii="Helvetica" w:eastAsia="Times New Roman" w:hAnsi="Helvetica" w:cs="Times New Roman"/>
          <w:sz w:val="22"/>
          <w:szCs w:val="22"/>
          <w:lang w:eastAsia="en-GB"/>
        </w:rPr>
      </w:pPr>
      <w:r w:rsidRPr="00B44120">
        <w:rPr>
          <w:rFonts w:ascii="Helvetica" w:eastAsia="Times New Roman" w:hAnsi="Helvetica" w:cs="Times New Roman"/>
          <w:sz w:val="22"/>
          <w:szCs w:val="22"/>
          <w:lang w:eastAsia="en-GB"/>
        </w:rPr>
        <w:t xml:space="preserve">Recyclate benefits = </w:t>
      </w:r>
      <w:proofErr w:type="gramStart"/>
      <w:r w:rsidRPr="00B44120">
        <w:rPr>
          <w:rFonts w:ascii="Helvetica" w:eastAsia="Times New Roman" w:hAnsi="Helvetica" w:cs="Times New Roman"/>
          <w:sz w:val="22"/>
          <w:szCs w:val="22"/>
          <w:lang w:eastAsia="en-GB"/>
        </w:rPr>
        <w:t>-(</w:t>
      </w:r>
      <w:proofErr w:type="gramEnd"/>
      <w:r w:rsidRPr="00B44120">
        <w:rPr>
          <w:rFonts w:ascii="Helvetica" w:eastAsia="Times New Roman" w:hAnsi="Helvetica" w:cs="Times New Roman"/>
          <w:sz w:val="22"/>
          <w:szCs w:val="22"/>
          <w:lang w:eastAsia="en-GB"/>
        </w:rPr>
        <w:t>237.1*</w:t>
      </w:r>
      <w:r w:rsidR="00F97C28" w:rsidRPr="00B44120">
        <w:rPr>
          <w:rFonts w:ascii="Helvetica" w:eastAsia="Times New Roman" w:hAnsi="Helvetica" w:cs="Times New Roman"/>
          <w:sz w:val="22"/>
          <w:szCs w:val="22"/>
          <w:lang w:eastAsia="en-GB"/>
        </w:rPr>
        <w:t>58%*100%*</w:t>
      </w:r>
      <w:r w:rsidRPr="00B44120">
        <w:rPr>
          <w:rFonts w:ascii="Helvetica" w:eastAsia="Times New Roman" w:hAnsi="Helvetica" w:cs="Times New Roman"/>
          <w:sz w:val="22"/>
          <w:szCs w:val="22"/>
          <w:lang w:eastAsia="en-GB"/>
        </w:rPr>
        <w:t>(100%-10%)+</w:t>
      </w:r>
      <w:r w:rsidR="001E601A">
        <w:rPr>
          <w:rFonts w:ascii="Helvetica" w:eastAsia="Times New Roman" w:hAnsi="Helvetica" w:cs="Times New Roman"/>
          <w:sz w:val="22"/>
          <w:szCs w:val="22"/>
          <w:lang w:eastAsia="en-GB"/>
        </w:rPr>
        <w:t>(</w:t>
      </w:r>
      <w:r w:rsidR="00A04FB1">
        <w:rPr>
          <w:rFonts w:ascii="Helvetica" w:eastAsia="Times New Roman" w:hAnsi="Helvetica" w:cs="Times New Roman"/>
          <w:sz w:val="22"/>
          <w:szCs w:val="22"/>
          <w:lang w:eastAsia="en-GB"/>
        </w:rPr>
        <w:t>312.1*50%*100%</w:t>
      </w:r>
      <w:r w:rsidRPr="00B44120">
        <w:rPr>
          <w:rFonts w:ascii="Helvetica" w:eastAsia="Times New Roman" w:hAnsi="Helvetica" w:cs="Times New Roman"/>
          <w:sz w:val="22"/>
          <w:szCs w:val="22"/>
          <w:lang w:eastAsia="en-GB"/>
        </w:rPr>
        <w:t>)*(100%-5%) = -265.8 GJ</w:t>
      </w:r>
      <w:bookmarkStart w:id="7" w:name="_Toc486504206"/>
    </w:p>
    <w:p w14:paraId="5FF51FCB" w14:textId="77777777" w:rsidR="00B44120" w:rsidRPr="002A6DBD" w:rsidRDefault="00B44120" w:rsidP="00B44120">
      <w:pPr>
        <w:pStyle w:val="Heading1"/>
      </w:pPr>
      <w:r w:rsidRPr="002A6DBD">
        <w:t>Results and discussion</w:t>
      </w:r>
      <w:bookmarkEnd w:id="7"/>
    </w:p>
    <w:p w14:paraId="59D1A475" w14:textId="77777777" w:rsidR="00B44120" w:rsidRDefault="00B44120" w:rsidP="00B44120">
      <w:pPr>
        <w:pStyle w:val="Heading2"/>
        <w:rPr>
          <w:lang w:eastAsia="en-US"/>
        </w:rPr>
      </w:pPr>
      <w:r w:rsidRPr="002A6DBD">
        <w:rPr>
          <w:rFonts w:hint="eastAsia"/>
          <w:lang w:eastAsia="en-US"/>
        </w:rPr>
        <w:t>Full</w:t>
      </w:r>
      <w:r w:rsidRPr="002A6DBD">
        <w:rPr>
          <w:lang w:eastAsia="en-US"/>
        </w:rPr>
        <w:t xml:space="preserve"> GF blade</w:t>
      </w:r>
    </w:p>
    <w:p w14:paraId="5A9F040E" w14:textId="77777777" w:rsidR="00B44120" w:rsidRPr="006452EF" w:rsidRDefault="0077351E" w:rsidP="006452EF">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 xml:space="preserve">In Figure </w:t>
      </w:r>
      <w:r w:rsidR="00B44120" w:rsidRPr="00B44120">
        <w:rPr>
          <w:rFonts w:ascii="Helvetica" w:eastAsia="Times New Roman" w:hAnsi="Helvetica" w:cs="Times New Roman"/>
          <w:sz w:val="22"/>
          <w:lang w:eastAsia="en-GB"/>
        </w:rPr>
        <w:t>2, the blue bars</w:t>
      </w:r>
      <w:r w:rsidR="00B44120" w:rsidRPr="00B44120">
        <w:rPr>
          <w:rFonts w:ascii="Helvetica" w:eastAsia="Times New Roman" w:hAnsi="Helvetica" w:cs="Times New Roman" w:hint="eastAsia"/>
          <w:sz w:val="22"/>
          <w:lang w:eastAsia="en-GB"/>
        </w:rPr>
        <w:t xml:space="preserve"> </w:t>
      </w:r>
      <w:r w:rsidR="00B44120" w:rsidRPr="00B44120">
        <w:rPr>
          <w:rFonts w:ascii="Helvetica" w:eastAsia="Times New Roman" w:hAnsi="Helvetica" w:cs="Times New Roman"/>
          <w:sz w:val="22"/>
          <w:lang w:eastAsia="en-GB"/>
        </w:rPr>
        <w:t xml:space="preserve">represent </w:t>
      </w:r>
      <w:r w:rsidR="00181FDF">
        <w:rPr>
          <w:rFonts w:ascii="Helvetica" w:eastAsia="Times New Roman" w:hAnsi="Helvetica" w:cs="Times New Roman" w:hint="eastAsia"/>
          <w:sz w:val="22"/>
          <w:lang w:eastAsia="en-GB"/>
        </w:rPr>
        <w:t>the</w:t>
      </w:r>
      <w:r w:rsidR="00181FDF">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lifetime </w:t>
      </w:r>
      <w:r w:rsidR="00B44120" w:rsidRPr="00B44120">
        <w:rPr>
          <w:rFonts w:ascii="Helvetica" w:eastAsia="Times New Roman" w:hAnsi="Helvetica" w:cs="Times New Roman" w:hint="eastAsia"/>
          <w:sz w:val="22"/>
          <w:lang w:eastAsia="en-GB"/>
        </w:rPr>
        <w:t xml:space="preserve">environmental impact </w:t>
      </w:r>
      <w:r w:rsidR="00B44120" w:rsidRPr="00B44120">
        <w:rPr>
          <w:rFonts w:ascii="Helvetica" w:eastAsia="Times New Roman" w:hAnsi="Helvetica" w:cs="Times New Roman"/>
          <w:sz w:val="22"/>
          <w:lang w:eastAsia="en-GB"/>
        </w:rPr>
        <w:t>comprising the impacts of</w:t>
      </w:r>
      <w:r w:rsidR="00B44120" w:rsidRPr="00B44120">
        <w:rPr>
          <w:rFonts w:ascii="Helvetica" w:eastAsia="Times New Roman" w:hAnsi="Helvetica" w:cs="Times New Roman" w:hint="eastAsia"/>
          <w:sz w:val="22"/>
          <w:lang w:eastAsia="en-GB"/>
        </w:rPr>
        <w:t xml:space="preserve"> manufacture, O&amp;M and transportation</w:t>
      </w:r>
      <w:r w:rsidR="00B44120" w:rsidRPr="00B44120">
        <w:rPr>
          <w:rFonts w:ascii="Helvetica" w:eastAsia="Times New Roman" w:hAnsi="Helvetica" w:cs="Times New Roman"/>
          <w:sz w:val="22"/>
          <w:lang w:eastAsia="en-GB"/>
        </w:rPr>
        <w:t xml:space="preserve">. The orange bars represent the impact of </w:t>
      </w:r>
      <w:proofErr w:type="spellStart"/>
      <w:r w:rsidR="00B44120" w:rsidRPr="00B44120">
        <w:rPr>
          <w:rFonts w:ascii="Helvetica" w:eastAsia="Times New Roman" w:hAnsi="Helvetica" w:cs="Times New Roman"/>
          <w:sz w:val="22"/>
          <w:lang w:eastAsia="en-GB"/>
        </w:rPr>
        <w:t>EoL</w:t>
      </w:r>
      <w:proofErr w:type="spellEnd"/>
      <w:r w:rsidR="00B44120" w:rsidRPr="00B44120">
        <w:rPr>
          <w:rFonts w:ascii="Helvetica" w:eastAsia="Times New Roman" w:hAnsi="Helvetica" w:cs="Times New Roman"/>
          <w:sz w:val="22"/>
          <w:lang w:eastAsia="en-GB"/>
        </w:rPr>
        <w:t xml:space="preserve"> processes. The grey bars present recyclate/recycling benefits. We use positive values to represent the energy consumption. Since the recycling benefit represents the equivalent energy reclaimed, it has a negative value. By adding the lifetime impact to the </w:t>
      </w:r>
      <w:proofErr w:type="spellStart"/>
      <w:r w:rsidR="00B44120" w:rsidRPr="00B44120">
        <w:rPr>
          <w:rFonts w:ascii="Helvetica" w:eastAsia="Times New Roman" w:hAnsi="Helvetica" w:cs="Times New Roman"/>
          <w:sz w:val="22"/>
          <w:lang w:eastAsia="en-GB"/>
        </w:rPr>
        <w:t>EoL</w:t>
      </w:r>
      <w:proofErr w:type="spellEnd"/>
      <w:r w:rsidR="00B44120" w:rsidRPr="00B44120">
        <w:rPr>
          <w:rFonts w:ascii="Helvetica" w:eastAsia="Times New Roman" w:hAnsi="Helvetica" w:cs="Times New Roman"/>
          <w:sz w:val="22"/>
          <w:lang w:eastAsia="en-GB"/>
        </w:rPr>
        <w:t xml:space="preserve"> process impact and recycling benefit, the net environmental impact is obtained. Then the net impacts of each </w:t>
      </w:r>
      <w:proofErr w:type="spellStart"/>
      <w:r w:rsidR="00B44120" w:rsidRPr="00B44120">
        <w:rPr>
          <w:rFonts w:ascii="Helvetica" w:eastAsia="Times New Roman" w:hAnsi="Helvetica" w:cs="Times New Roman"/>
          <w:sz w:val="22"/>
          <w:lang w:eastAsia="en-GB"/>
        </w:rPr>
        <w:t>EoL</w:t>
      </w:r>
      <w:proofErr w:type="spellEnd"/>
      <w:r w:rsidR="00B44120" w:rsidRPr="00B44120">
        <w:rPr>
          <w:rFonts w:ascii="Helvetica" w:eastAsia="Times New Roman" w:hAnsi="Helvetica" w:cs="Times New Roman"/>
          <w:sz w:val="22"/>
          <w:lang w:eastAsia="en-GB"/>
        </w:rPr>
        <w:t xml:space="preserve"> process are compared with the </w:t>
      </w:r>
      <w:r w:rsidR="001B6DEA">
        <w:rPr>
          <w:rFonts w:ascii="Helvetica" w:eastAsia="Times New Roman" w:hAnsi="Helvetica" w:cs="Times New Roman"/>
          <w:sz w:val="22"/>
          <w:lang w:eastAsia="en-GB"/>
        </w:rPr>
        <w:t>‘</w:t>
      </w:r>
      <w:r w:rsidR="00B44120" w:rsidRPr="00B44120">
        <w:rPr>
          <w:rFonts w:ascii="Helvetica" w:eastAsia="Times New Roman" w:hAnsi="Helvetica" w:cs="Times New Roman"/>
          <w:sz w:val="22"/>
          <w:lang w:eastAsia="en-GB"/>
        </w:rPr>
        <w:t>no processing</w:t>
      </w:r>
      <w:r w:rsidR="001B6DEA">
        <w:rPr>
          <w:rFonts w:ascii="Helvetica" w:eastAsia="Times New Roman" w:hAnsi="Helvetica" w:cs="Times New Roman"/>
          <w:sz w:val="22"/>
          <w:lang w:eastAsia="en-GB"/>
        </w:rPr>
        <w:t>’</w:t>
      </w:r>
      <w:r w:rsidR="00B44120" w:rsidRPr="00B44120">
        <w:rPr>
          <w:rFonts w:ascii="Helvetica" w:eastAsia="Times New Roman" w:hAnsi="Helvetica" w:cs="Times New Roman"/>
          <w:sz w:val="22"/>
          <w:lang w:eastAsia="en-GB"/>
        </w:rPr>
        <w:t xml:space="preserve"> option, landfill, as a benchmark, shown by the yellow line.</w:t>
      </w:r>
      <w:bookmarkStart w:id="8" w:name="_Toc486170179"/>
    </w:p>
    <w:p w14:paraId="216B67FA" w14:textId="77777777" w:rsidR="009F46D3" w:rsidRPr="009F46D3" w:rsidRDefault="00A5104F" w:rsidP="009F46D3">
      <w:r>
        <w:rPr>
          <w:noProof/>
          <w:lang w:eastAsia="zh-CN"/>
        </w:rPr>
        <w:lastRenderedPageBreak/>
        <w:drawing>
          <wp:inline distT="0" distB="0" distL="0" distR="0" wp14:anchorId="7AE7BE9B" wp14:editId="5CD83DDE">
            <wp:extent cx="5709920" cy="3933825"/>
            <wp:effectExtent l="0" t="0" r="5080" b="9525"/>
            <wp:docPr id="5" name="Chart 5">
              <a:extLst xmlns:a="http://schemas.openxmlformats.org/drawingml/2006/main">
                <a:ext uri="{FF2B5EF4-FFF2-40B4-BE49-F238E27FC236}">
                  <a16:creationId xmlns:mo="http://schemas.microsoft.com/office/mac/office/2008/main" xmlns:mv="urn:schemas-microsoft-com:mac:vml"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80A1F6" w14:textId="6C10E501" w:rsidR="00B44120" w:rsidRPr="002A6DBD" w:rsidRDefault="00B44120" w:rsidP="0022044B">
      <w:pPr>
        <w:pStyle w:val="Caption"/>
      </w:pPr>
      <w:r w:rsidRPr="002A6DBD">
        <w:t xml:space="preserve">Figure </w:t>
      </w:r>
      <w:r w:rsidR="00107EB7">
        <w:fldChar w:fldCharType="begin"/>
      </w:r>
      <w:r w:rsidR="00377D2D">
        <w:instrText xml:space="preserve"> SEQ Figure \* ARABIC </w:instrText>
      </w:r>
      <w:r w:rsidR="00107EB7">
        <w:fldChar w:fldCharType="separate"/>
      </w:r>
      <w:r w:rsidR="00CB61A7">
        <w:rPr>
          <w:noProof/>
        </w:rPr>
        <w:t>2</w:t>
      </w:r>
      <w:r w:rsidR="00107EB7">
        <w:rPr>
          <w:noProof/>
        </w:rPr>
        <w:fldChar w:fldCharType="end"/>
      </w:r>
      <w:r w:rsidRPr="002A6DBD">
        <w:t>: Full glass fibre blade net impacts</w:t>
      </w:r>
      <w:r w:rsidR="00650E30">
        <w:t xml:space="preserve"> of waste treatment options (incineration, mechanical, fluidised bed, pyrolysis, MAP, chemical, and HVF processes) and life extension for 2, 5 and </w:t>
      </w:r>
      <w:r w:rsidR="00387CB7">
        <w:t xml:space="preserve">10 </w:t>
      </w:r>
      <w:r w:rsidR="00650E30">
        <w:t>year</w:t>
      </w:r>
      <w:r w:rsidR="00387CB7">
        <w:t>s</w:t>
      </w:r>
      <w:r w:rsidRPr="002A6DBD">
        <w:t xml:space="preserve"> compared to </w:t>
      </w:r>
      <w:r w:rsidR="00650E30">
        <w:t xml:space="preserve">conventional </w:t>
      </w:r>
      <w:r w:rsidRPr="002A6DBD">
        <w:t>landfill</w:t>
      </w:r>
      <w:r w:rsidR="00387CB7">
        <w:t xml:space="preserve"> as the benchmark process</w:t>
      </w:r>
      <w:r w:rsidRPr="002A6DBD">
        <w:t>.</w:t>
      </w:r>
      <w:bookmarkEnd w:id="8"/>
      <w:r w:rsidR="005F3D6F">
        <w:t xml:space="preserve"> MAP=</w:t>
      </w:r>
      <w:r w:rsidR="005F3D6F" w:rsidRPr="005F3D6F">
        <w:t>Microwave Assisted Pyrolysis</w:t>
      </w:r>
      <w:r w:rsidR="005F3D6F">
        <w:t>, HVF=</w:t>
      </w:r>
      <w:r w:rsidR="005F3D6F" w:rsidRPr="005F3D6F">
        <w:t>High Voltage Fragmentation</w:t>
      </w:r>
      <w:r w:rsidR="005F3D6F">
        <w:t>, LE=life extension.</w:t>
      </w:r>
    </w:p>
    <w:p w14:paraId="51D2206D" w14:textId="77777777" w:rsidR="00B44120" w:rsidRPr="00320751" w:rsidRDefault="001B6DEA" w:rsidP="00B44120">
      <w:pPr>
        <w:tabs>
          <w:tab w:val="left" w:pos="851"/>
        </w:tabs>
        <w:spacing w:before="120" w:line="360" w:lineRule="auto"/>
        <w:rPr>
          <w:rFonts w:ascii="Helvetica" w:hAnsi="Helvetica" w:cs="Times New Roman"/>
          <w:sz w:val="22"/>
        </w:rPr>
      </w:pPr>
      <w:r>
        <w:rPr>
          <w:rFonts w:ascii="Helvetica" w:eastAsia="Times New Roman" w:hAnsi="Helvetica" w:cs="Times New Roman"/>
          <w:sz w:val="22"/>
          <w:lang w:eastAsia="en-GB"/>
        </w:rPr>
        <w:t>T</w:t>
      </w:r>
      <w:r w:rsidR="00B44120" w:rsidRPr="00B44120">
        <w:rPr>
          <w:rFonts w:ascii="Helvetica" w:eastAsia="Times New Roman" w:hAnsi="Helvetica" w:cs="Times New Roman"/>
          <w:sz w:val="22"/>
          <w:lang w:eastAsia="en-GB"/>
        </w:rPr>
        <w:t xml:space="preserve">he highest </w:t>
      </w:r>
      <w:r>
        <w:rPr>
          <w:rFonts w:ascii="Helvetica" w:eastAsia="Times New Roman" w:hAnsi="Helvetica" w:cs="Times New Roman"/>
          <w:sz w:val="22"/>
          <w:lang w:eastAsia="en-GB"/>
        </w:rPr>
        <w:t>impacts are found for</w:t>
      </w:r>
      <w:r w:rsidRPr="00B44120">
        <w:rPr>
          <w:rFonts w:ascii="Helvetica" w:eastAsia="Times New Roman" w:hAnsi="Helvetica" w:cs="Times New Roman"/>
          <w:sz w:val="22"/>
          <w:lang w:eastAsia="en-GB"/>
        </w:rPr>
        <w:t xml:space="preserve"> the fluidised-bed and pyrolysis</w:t>
      </w:r>
      <w:r w:rsidR="00B44120" w:rsidRPr="00B44120">
        <w:rPr>
          <w:rFonts w:ascii="Helvetica" w:eastAsia="Times New Roman" w:hAnsi="Helvetica" w:cs="Times New Roman"/>
          <w:sz w:val="22"/>
          <w:lang w:eastAsia="en-GB"/>
        </w:rPr>
        <w:t xml:space="preserve"> </w:t>
      </w:r>
      <w:r w:rsidR="006B0AC5" w:rsidRPr="00B44120">
        <w:rPr>
          <w:rFonts w:ascii="Helvetica" w:eastAsia="Times New Roman" w:hAnsi="Helvetica" w:cs="Times New Roman"/>
          <w:sz w:val="22"/>
          <w:lang w:eastAsia="en-GB"/>
        </w:rPr>
        <w:t>process</w:t>
      </w:r>
      <w:r w:rsidR="006B0AC5">
        <w:rPr>
          <w:rFonts w:ascii="Helvetica" w:eastAsia="Times New Roman" w:hAnsi="Helvetica" w:cs="Times New Roman"/>
          <w:sz w:val="22"/>
          <w:lang w:eastAsia="en-GB"/>
        </w:rPr>
        <w:t>es</w:t>
      </w:r>
      <w:r w:rsidR="006B0AC5"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because of their high recycling energy consumption and low recyclate value. The net impacts of mechanical recycling, incineration, chemical recycling, HVF and two-year life extension (LE) </w:t>
      </w:r>
      <w:r>
        <w:rPr>
          <w:rFonts w:ascii="Helvetica" w:eastAsia="Times New Roman" w:hAnsi="Helvetica" w:cs="Times New Roman"/>
          <w:sz w:val="22"/>
          <w:lang w:eastAsia="en-GB"/>
        </w:rPr>
        <w:t>are</w:t>
      </w:r>
      <w:r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between 86% and 95% of the net impact of landfill, </w:t>
      </w:r>
      <w:r>
        <w:rPr>
          <w:rFonts w:ascii="Helvetica" w:eastAsia="Times New Roman" w:hAnsi="Helvetica" w:cs="Times New Roman"/>
          <w:sz w:val="22"/>
          <w:lang w:eastAsia="en-GB"/>
        </w:rPr>
        <w:t>so providing only marginal reduction in</w:t>
      </w:r>
      <w:r w:rsidR="00B44120" w:rsidRPr="00B44120">
        <w:rPr>
          <w:rFonts w:ascii="Helvetica" w:eastAsia="Times New Roman" w:hAnsi="Helvetica" w:cs="Times New Roman"/>
          <w:sz w:val="22"/>
          <w:lang w:eastAsia="en-GB"/>
        </w:rPr>
        <w:t xml:space="preserve"> environmental impact. </w:t>
      </w:r>
      <w:r>
        <w:rPr>
          <w:rFonts w:ascii="Helvetica" w:eastAsia="Times New Roman" w:hAnsi="Helvetica" w:cs="Times New Roman"/>
          <w:sz w:val="22"/>
          <w:lang w:eastAsia="en-GB"/>
        </w:rPr>
        <w:t xml:space="preserve">The conclusion from this analysis is therefore that </w:t>
      </w:r>
      <w:r w:rsidR="00E71D4B">
        <w:rPr>
          <w:rFonts w:ascii="Helvetica" w:eastAsia="Times New Roman" w:hAnsi="Helvetica" w:cs="Times New Roman"/>
          <w:sz w:val="22"/>
          <w:lang w:eastAsia="en-GB"/>
        </w:rPr>
        <w:t xml:space="preserve">there is little potential for significant </w:t>
      </w:r>
      <w:r w:rsidR="00B44120" w:rsidRPr="00B44120">
        <w:rPr>
          <w:rFonts w:ascii="Helvetica" w:eastAsia="Times New Roman" w:hAnsi="Helvetica" w:cs="Times New Roman"/>
          <w:sz w:val="22"/>
          <w:lang w:eastAsia="en-GB"/>
        </w:rPr>
        <w:t xml:space="preserve">environmental impact reduction from such </w:t>
      </w:r>
      <w:proofErr w:type="spellStart"/>
      <w:r w:rsidR="00B44120" w:rsidRPr="00B44120">
        <w:rPr>
          <w:rFonts w:ascii="Helvetica" w:eastAsia="Times New Roman" w:hAnsi="Helvetica" w:cs="Times New Roman"/>
          <w:sz w:val="22"/>
          <w:lang w:eastAsia="en-GB"/>
        </w:rPr>
        <w:t>EoL</w:t>
      </w:r>
      <w:proofErr w:type="spellEnd"/>
      <w:r w:rsidR="00B44120" w:rsidRPr="00B44120">
        <w:rPr>
          <w:rFonts w:ascii="Helvetica" w:eastAsia="Times New Roman" w:hAnsi="Helvetica" w:cs="Times New Roman"/>
          <w:sz w:val="22"/>
          <w:lang w:eastAsia="en-GB"/>
        </w:rPr>
        <w:t xml:space="preserve"> processes</w:t>
      </w:r>
      <w:r w:rsidR="00E71D4B">
        <w:rPr>
          <w:rFonts w:ascii="Helvetica" w:eastAsia="Times New Roman" w:hAnsi="Helvetica" w:cs="Times New Roman"/>
          <w:sz w:val="22"/>
          <w:lang w:eastAsia="en-GB"/>
        </w:rPr>
        <w:t>. Environmental impact reduction</w:t>
      </w:r>
      <w:r w:rsidR="00B44120" w:rsidRPr="00B44120">
        <w:rPr>
          <w:rFonts w:ascii="Helvetica" w:eastAsia="Times New Roman" w:hAnsi="Helvetica" w:cs="Times New Roman"/>
          <w:sz w:val="22"/>
          <w:lang w:eastAsia="en-GB"/>
        </w:rPr>
        <w:t xml:space="preserve"> </w:t>
      </w:r>
      <w:r w:rsidR="00E71D4B">
        <w:rPr>
          <w:rFonts w:ascii="Helvetica" w:eastAsia="Times New Roman" w:hAnsi="Helvetica" w:cs="Times New Roman"/>
          <w:sz w:val="22"/>
          <w:lang w:eastAsia="en-GB"/>
        </w:rPr>
        <w:t xml:space="preserve">must be </w:t>
      </w:r>
      <w:r w:rsidR="00B44120" w:rsidRPr="00B44120">
        <w:rPr>
          <w:rFonts w:ascii="Helvetica" w:eastAsia="Times New Roman" w:hAnsi="Helvetica" w:cs="Times New Roman"/>
          <w:sz w:val="22"/>
          <w:lang w:eastAsia="en-GB"/>
        </w:rPr>
        <w:t>a weak driver</w:t>
      </w:r>
      <w:r w:rsidR="00E71D4B">
        <w:rPr>
          <w:rFonts w:ascii="Helvetica" w:eastAsia="Times New Roman" w:hAnsi="Helvetica" w:cs="Times New Roman"/>
          <w:sz w:val="22"/>
          <w:lang w:eastAsia="en-GB"/>
        </w:rPr>
        <w:t xml:space="preserve"> for moving away from landfill:</w:t>
      </w:r>
      <w:r w:rsidR="00E71D4B" w:rsidRPr="00B44120">
        <w:rPr>
          <w:rFonts w:ascii="Helvetica" w:eastAsia="Times New Roman" w:hAnsi="Helvetica" w:cs="Times New Roman"/>
          <w:sz w:val="22"/>
          <w:lang w:eastAsia="en-GB"/>
        </w:rPr>
        <w:t xml:space="preserve"> </w:t>
      </w:r>
      <w:r w:rsidR="00754C99">
        <w:rPr>
          <w:rFonts w:ascii="Helvetica" w:eastAsia="Times New Roman" w:hAnsi="Helvetica" w:cs="Times New Roman"/>
          <w:sz w:val="22"/>
          <w:lang w:eastAsia="en-GB"/>
        </w:rPr>
        <w:t>any</w:t>
      </w:r>
      <w:r w:rsidR="00754C99"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impetus will depend more on the other aspects of the recycling operation such as</w:t>
      </w:r>
      <w:r w:rsidR="002F3960">
        <w:rPr>
          <w:rFonts w:ascii="Helvetica" w:eastAsia="Times New Roman" w:hAnsi="Helvetica" w:cs="Times New Roman"/>
          <w:sz w:val="22"/>
          <w:lang w:eastAsia="en-GB"/>
        </w:rPr>
        <w:t xml:space="preserve"> </w:t>
      </w:r>
      <w:r w:rsidR="00B37395">
        <w:rPr>
          <w:rFonts w:ascii="Helvetica" w:eastAsia="Times New Roman" w:hAnsi="Helvetica" w:cs="Times New Roman"/>
          <w:sz w:val="22"/>
          <w:lang w:eastAsia="en-GB"/>
        </w:rPr>
        <w:t>environment</w:t>
      </w:r>
      <w:r w:rsidR="00A34269">
        <w:rPr>
          <w:rFonts w:ascii="Helvetica" w:eastAsia="Times New Roman" w:hAnsi="Helvetica" w:cs="Times New Roman"/>
          <w:sz w:val="22"/>
          <w:lang w:eastAsia="en-GB"/>
        </w:rPr>
        <w:t>al</w:t>
      </w:r>
      <w:r w:rsidR="00B37395">
        <w:rPr>
          <w:rFonts w:ascii="Helvetica" w:eastAsia="Times New Roman" w:hAnsi="Helvetica" w:cs="Times New Roman"/>
          <w:sz w:val="22"/>
          <w:lang w:eastAsia="en-GB"/>
        </w:rPr>
        <w:t xml:space="preserve"> protection </w:t>
      </w:r>
      <w:r w:rsidR="002F3960">
        <w:rPr>
          <w:rFonts w:ascii="Helvetica" w:eastAsia="Times New Roman" w:hAnsi="Helvetica" w:cs="Times New Roman" w:hint="eastAsia"/>
          <w:sz w:val="22"/>
          <w:lang w:eastAsia="zh-CN"/>
        </w:rPr>
        <w:t>re</w:t>
      </w:r>
      <w:r w:rsidR="002F3960">
        <w:rPr>
          <w:rFonts w:ascii="Helvetica" w:eastAsia="Times New Roman" w:hAnsi="Helvetica" w:cs="Times New Roman"/>
          <w:sz w:val="22"/>
          <w:lang w:eastAsia="zh-CN"/>
        </w:rPr>
        <w:t>gulation</w:t>
      </w:r>
      <w:r w:rsidR="00A34269">
        <w:rPr>
          <w:rFonts w:ascii="Helvetica" w:eastAsia="Times New Roman" w:hAnsi="Helvetica" w:cs="Times New Roman"/>
          <w:sz w:val="22"/>
          <w:lang w:eastAsia="zh-CN"/>
        </w:rPr>
        <w:t>s</w:t>
      </w:r>
      <w:r w:rsidR="002F3960">
        <w:rPr>
          <w:rFonts w:ascii="Helvetica" w:eastAsia="Times New Roman" w:hAnsi="Helvetica" w:cs="Times New Roman"/>
          <w:sz w:val="22"/>
          <w:lang w:eastAsia="zh-CN"/>
        </w:rPr>
        <w:t xml:space="preserve"> and </w:t>
      </w:r>
      <w:r w:rsidR="00B44120" w:rsidRPr="00B44120">
        <w:rPr>
          <w:rFonts w:ascii="Helvetica" w:eastAsia="Times New Roman" w:hAnsi="Helvetica" w:cs="Times New Roman"/>
          <w:sz w:val="22"/>
          <w:lang w:eastAsia="en-GB"/>
        </w:rPr>
        <w:t>financial performance. However, non-recycling options</w:t>
      </w:r>
      <w:r w:rsidR="00E71D4B">
        <w:rPr>
          <w:rFonts w:ascii="Helvetica" w:eastAsia="Times New Roman" w:hAnsi="Helvetica" w:cs="Times New Roman"/>
          <w:sz w:val="22"/>
          <w:lang w:eastAsia="en-GB"/>
        </w:rPr>
        <w:t xml:space="preserve"> are more promising</w:t>
      </w:r>
      <w:r w:rsidR="00B44120" w:rsidRPr="00B44120">
        <w:rPr>
          <w:rFonts w:ascii="Helvetica" w:eastAsia="Times New Roman" w:hAnsi="Helvetica" w:cs="Times New Roman"/>
          <w:sz w:val="22"/>
          <w:lang w:eastAsia="en-GB"/>
        </w:rPr>
        <w:t xml:space="preserve">: LE 5 years and LE 10 years perform better and can significantly reduce the net impacts to 76% and 52% of those of landfill, respectively. </w:t>
      </w:r>
      <w:r w:rsidR="00995A5E">
        <w:rPr>
          <w:rFonts w:ascii="Helvetica" w:eastAsia="Times New Roman" w:hAnsi="Helvetica" w:cs="Times New Roman"/>
          <w:sz w:val="22"/>
          <w:lang w:eastAsia="en-GB"/>
        </w:rPr>
        <w:t>T</w:t>
      </w:r>
      <w:r w:rsidR="00B44120" w:rsidRPr="00B44120">
        <w:rPr>
          <w:rFonts w:ascii="Helvetica" w:eastAsia="Times New Roman" w:hAnsi="Helvetica" w:cs="Times New Roman"/>
          <w:sz w:val="22"/>
          <w:lang w:eastAsia="en-GB"/>
        </w:rPr>
        <w:t xml:space="preserve">he risk of blade failure </w:t>
      </w:r>
      <w:r w:rsidR="00995A5E">
        <w:rPr>
          <w:rFonts w:ascii="Helvetica" w:eastAsia="Times New Roman" w:hAnsi="Helvetica" w:cs="Times New Roman"/>
          <w:sz w:val="22"/>
          <w:lang w:eastAsia="en-GB"/>
        </w:rPr>
        <w:t>must increase the</w:t>
      </w:r>
      <w:r w:rsidR="00B44120" w:rsidRPr="00B44120">
        <w:rPr>
          <w:rFonts w:ascii="Helvetica" w:eastAsia="Times New Roman" w:hAnsi="Helvetica" w:cs="Times New Roman"/>
          <w:sz w:val="22"/>
          <w:lang w:eastAsia="en-GB"/>
        </w:rPr>
        <w:t xml:space="preserve"> longer the </w:t>
      </w:r>
      <w:r w:rsidR="00995A5E">
        <w:rPr>
          <w:rFonts w:ascii="Helvetica" w:eastAsia="Times New Roman" w:hAnsi="Helvetica" w:cs="Times New Roman"/>
          <w:sz w:val="22"/>
          <w:lang w:eastAsia="en-GB"/>
        </w:rPr>
        <w:t xml:space="preserve">blade is </w:t>
      </w:r>
      <w:r w:rsidR="00B44120" w:rsidRPr="00B44120">
        <w:rPr>
          <w:rFonts w:ascii="Helvetica" w:eastAsia="Times New Roman" w:hAnsi="Helvetica" w:cs="Times New Roman"/>
          <w:sz w:val="22"/>
          <w:lang w:eastAsia="en-GB"/>
        </w:rPr>
        <w:t>use</w:t>
      </w:r>
      <w:r w:rsidR="00995A5E">
        <w:rPr>
          <w:rFonts w:ascii="Helvetica" w:eastAsia="Times New Roman" w:hAnsi="Helvetica" w:cs="Times New Roman"/>
          <w:sz w:val="22"/>
          <w:lang w:eastAsia="en-GB"/>
        </w:rPr>
        <w:t>d</w:t>
      </w:r>
      <w:r w:rsidR="00B44120" w:rsidRPr="00B44120">
        <w:rPr>
          <w:rFonts w:ascii="Helvetica" w:eastAsia="Times New Roman" w:hAnsi="Helvetica" w:cs="Times New Roman"/>
          <w:sz w:val="22"/>
          <w:lang w:eastAsia="en-GB"/>
        </w:rPr>
        <w:t xml:space="preserve"> after the designed lifetime</w:t>
      </w:r>
      <w:r w:rsidR="00995A5E">
        <w:rPr>
          <w:rFonts w:ascii="Helvetica" w:eastAsia="Times New Roman" w:hAnsi="Helvetica" w:cs="Times New Roman"/>
          <w:sz w:val="22"/>
          <w:lang w:eastAsia="en-GB"/>
        </w:rPr>
        <w:t>, but LE is actively being assessed commercially</w:t>
      </w:r>
      <w:r w:rsidR="008A2A1E">
        <w:rPr>
          <w:rFonts w:ascii="Helvetica" w:eastAsia="Times New Roman" w:hAnsi="Helvetica" w:cs="Times New Roman"/>
          <w:sz w:val="22"/>
          <w:lang w:eastAsia="en-GB"/>
        </w:rPr>
        <w:t>.</w:t>
      </w:r>
    </w:p>
    <w:p w14:paraId="0532C912" w14:textId="77777777" w:rsidR="008867B3" w:rsidRPr="00A5104F" w:rsidRDefault="00B44120" w:rsidP="00A5104F">
      <w:pPr>
        <w:pStyle w:val="Heading2"/>
        <w:rPr>
          <w:lang w:eastAsia="en-US"/>
        </w:rPr>
      </w:pPr>
      <w:r w:rsidRPr="002A6DBD">
        <w:rPr>
          <w:lang w:eastAsia="en-US"/>
        </w:rPr>
        <w:lastRenderedPageBreak/>
        <w:t>Hybrid blade</w:t>
      </w:r>
      <w:bookmarkStart w:id="9" w:name="_Toc486170180"/>
    </w:p>
    <w:p w14:paraId="0858785B" w14:textId="77777777" w:rsidR="00B44120" w:rsidRDefault="00A5104F" w:rsidP="00B44120">
      <w:pPr>
        <w:tabs>
          <w:tab w:val="left" w:pos="851"/>
        </w:tabs>
        <w:spacing w:before="120" w:after="120"/>
        <w:rPr>
          <w:rFonts w:ascii="Helvetica" w:eastAsia="Times New Roman" w:hAnsi="Helvetica" w:cs="Times New Roman"/>
          <w:bCs/>
          <w:i/>
          <w:color w:val="44546A"/>
          <w:sz w:val="18"/>
          <w:szCs w:val="18"/>
          <w:lang w:eastAsia="en-GB"/>
        </w:rPr>
      </w:pPr>
      <w:r>
        <w:rPr>
          <w:noProof/>
          <w:lang w:eastAsia="zh-CN"/>
        </w:rPr>
        <w:drawing>
          <wp:inline distT="0" distB="0" distL="0" distR="0" wp14:anchorId="314231C9" wp14:editId="4E77C1A7">
            <wp:extent cx="5723255" cy="4048125"/>
            <wp:effectExtent l="0" t="0" r="10795" b="9525"/>
            <wp:docPr id="4" name="Chart 4">
              <a:extLst xmlns:a="http://schemas.openxmlformats.org/drawingml/2006/main">
                <a:ext uri="{FF2B5EF4-FFF2-40B4-BE49-F238E27FC236}">
                  <a16:creationId xmlns:mo="http://schemas.microsoft.com/office/mac/office/2008/main" xmlns:mv="urn:schemas-microsoft-com:mac:vml"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0DF31B" w14:textId="6FD9A67E" w:rsidR="00B44120" w:rsidRPr="002A6DBD" w:rsidRDefault="00B44120" w:rsidP="0022044B">
      <w:pPr>
        <w:pStyle w:val="Caption"/>
      </w:pPr>
      <w:r w:rsidRPr="002A6DBD">
        <w:t xml:space="preserve">Figure </w:t>
      </w:r>
      <w:r w:rsidR="00107EB7">
        <w:fldChar w:fldCharType="begin"/>
      </w:r>
      <w:r w:rsidR="00377D2D">
        <w:instrText xml:space="preserve"> SEQ Figure \* ARABIC </w:instrText>
      </w:r>
      <w:r w:rsidR="00107EB7">
        <w:fldChar w:fldCharType="separate"/>
      </w:r>
      <w:r w:rsidR="00CB61A7">
        <w:rPr>
          <w:noProof/>
        </w:rPr>
        <w:t>3</w:t>
      </w:r>
      <w:r w:rsidR="00107EB7">
        <w:rPr>
          <w:noProof/>
        </w:rPr>
        <w:fldChar w:fldCharType="end"/>
      </w:r>
      <w:r w:rsidRPr="002A6DBD">
        <w:t>: Hybrid blade net impacts</w:t>
      </w:r>
      <w:r w:rsidR="00650E30" w:rsidRPr="00650E30">
        <w:t xml:space="preserve"> </w:t>
      </w:r>
      <w:r w:rsidR="00650E30">
        <w:t>of waste treatment options (incineration, mechanical, fluidised bed, pyrolysis, MAP, chemical, and HVF processes) and life extension for 2, 5 an</w:t>
      </w:r>
      <w:r w:rsidR="00387CB7">
        <w:t>d 10 years</w:t>
      </w:r>
      <w:r w:rsidR="00387CB7" w:rsidRPr="002A6DBD">
        <w:t xml:space="preserve"> compared to </w:t>
      </w:r>
      <w:r w:rsidR="00387CB7">
        <w:t xml:space="preserve">conventional </w:t>
      </w:r>
      <w:r w:rsidR="00387CB7" w:rsidRPr="002A6DBD">
        <w:t>landfill</w:t>
      </w:r>
      <w:r w:rsidR="00387CB7">
        <w:t xml:space="preserve"> as the benchmark process.</w:t>
      </w:r>
      <w:bookmarkEnd w:id="9"/>
      <w:r w:rsidR="005F3D6F">
        <w:t xml:space="preserve"> MAP=</w:t>
      </w:r>
      <w:r w:rsidR="005F3D6F" w:rsidRPr="005F3D6F">
        <w:t>Microwave Assisted Pyrolysis</w:t>
      </w:r>
      <w:r w:rsidR="005F3D6F">
        <w:t>, HVF=</w:t>
      </w:r>
      <w:r w:rsidR="005F3D6F" w:rsidRPr="005F3D6F">
        <w:t>High Voltage Fragmentation</w:t>
      </w:r>
      <w:r w:rsidR="005F3D6F">
        <w:t>, LE=life extension.</w:t>
      </w:r>
    </w:p>
    <w:p w14:paraId="4334278D" w14:textId="0BD51096" w:rsidR="00B44120" w:rsidRPr="00B44120" w:rsidRDefault="00B44120" w:rsidP="00B44120">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t xml:space="preserve">Turning to the hybrid blade, the recyclate benefits for most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options are improved in comparison</w:t>
      </w:r>
      <w:r w:rsidR="00580752">
        <w:rPr>
          <w:rFonts w:ascii="Helvetica" w:eastAsia="Times New Roman" w:hAnsi="Helvetica" w:cs="Times New Roman"/>
          <w:sz w:val="22"/>
          <w:lang w:eastAsia="en-GB"/>
        </w:rPr>
        <w:t xml:space="preserve"> to</w:t>
      </w:r>
      <w:r w:rsidR="00320751">
        <w:rPr>
          <w:rFonts w:ascii="Helvetica" w:eastAsia="Times New Roman" w:hAnsi="Helvetica" w:cs="Times New Roman"/>
          <w:sz w:val="22"/>
          <w:lang w:eastAsia="en-GB"/>
        </w:rPr>
        <w:t xml:space="preserve"> </w:t>
      </w:r>
      <w:r w:rsidR="009F1CAF">
        <w:rPr>
          <w:rFonts w:ascii="Helvetica" w:eastAsia="Times New Roman" w:hAnsi="Helvetica" w:cs="Times New Roman"/>
          <w:sz w:val="22"/>
          <w:lang w:eastAsia="en-GB"/>
        </w:rPr>
        <w:t xml:space="preserve">the </w:t>
      </w:r>
      <w:r w:rsidR="00320751">
        <w:rPr>
          <w:rFonts w:ascii="Helvetica" w:eastAsia="Times New Roman" w:hAnsi="Helvetica" w:cs="Times New Roman"/>
          <w:sz w:val="22"/>
          <w:lang w:eastAsia="en-GB"/>
        </w:rPr>
        <w:t>full GF blade</w:t>
      </w:r>
      <w:r w:rsidRPr="00B44120">
        <w:rPr>
          <w:rFonts w:ascii="Helvetica" w:eastAsia="Times New Roman" w:hAnsi="Helvetica" w:cs="Times New Roman"/>
          <w:sz w:val="22"/>
          <w:lang w:eastAsia="en-GB"/>
        </w:rPr>
        <w:t xml:space="preserve">, as part of the recyclate is </w:t>
      </w:r>
      <w:r w:rsidRPr="00B44120">
        <w:rPr>
          <w:rFonts w:ascii="Helvetica" w:eastAsia="Times New Roman" w:hAnsi="Helvetica" w:cs="Times New Roman" w:hint="eastAsia"/>
          <w:sz w:val="22"/>
          <w:lang w:eastAsia="en-GB"/>
        </w:rPr>
        <w:t>the</w:t>
      </w:r>
      <w:r w:rsidR="003F2208">
        <w:rPr>
          <w:rFonts w:ascii="Helvetica" w:eastAsia="Times New Roman" w:hAnsi="Helvetica" w:cs="Times New Roman"/>
          <w:sz w:val="22"/>
          <w:lang w:eastAsia="en-GB"/>
        </w:rPr>
        <w:t xml:space="preserve"> high-value,</w:t>
      </w:r>
      <w:r w:rsidRPr="00B44120">
        <w:rPr>
          <w:rFonts w:ascii="Helvetica" w:eastAsia="Times New Roman" w:hAnsi="Helvetica" w:cs="Times New Roman"/>
          <w:sz w:val="22"/>
          <w:lang w:eastAsia="en-GB"/>
        </w:rPr>
        <w:t xml:space="preserve"> high-energy</w:t>
      </w:r>
      <w:r w:rsidR="00387CB7">
        <w:rPr>
          <w:rFonts w:ascii="Helvetica" w:eastAsia="Times New Roman" w:hAnsi="Helvetica" w:cs="Times New Roman"/>
          <w:sz w:val="22"/>
          <w:lang w:eastAsia="en-GB"/>
        </w:rPr>
        <w:t>-</w:t>
      </w:r>
      <w:r w:rsidR="006B0AC5">
        <w:rPr>
          <w:rFonts w:ascii="Helvetica" w:eastAsia="Times New Roman" w:hAnsi="Helvetica" w:cs="Times New Roman"/>
          <w:sz w:val="22"/>
          <w:lang w:eastAsia="en-GB"/>
        </w:rPr>
        <w:t>intensive</w:t>
      </w:r>
      <w:r w:rsidR="006B0AC5" w:rsidRPr="00B44120">
        <w:rPr>
          <w:rFonts w:ascii="Helvetica" w:eastAsia="Times New Roman" w:hAnsi="Helvetica" w:cs="Times New Roman"/>
          <w:sz w:val="22"/>
          <w:lang w:eastAsia="en-GB"/>
        </w:rPr>
        <w:t xml:space="preserve"> </w:t>
      </w:r>
      <w:r w:rsidR="006B0AC5">
        <w:rPr>
          <w:rFonts w:ascii="Helvetica" w:eastAsia="Times New Roman" w:hAnsi="Helvetica" w:cs="Times New Roman"/>
          <w:sz w:val="22"/>
          <w:lang w:eastAsia="en-GB"/>
        </w:rPr>
        <w:t>CF</w:t>
      </w:r>
      <w:r w:rsidRPr="00B44120">
        <w:rPr>
          <w:rFonts w:ascii="Helvetica" w:eastAsia="Times New Roman" w:hAnsi="Helvetica" w:cs="Times New Roman"/>
          <w:sz w:val="22"/>
          <w:lang w:eastAsia="en-GB"/>
        </w:rPr>
        <w:t xml:space="preserve">. </w:t>
      </w:r>
      <w:r w:rsidR="00566527" w:rsidRPr="00B44120">
        <w:rPr>
          <w:rFonts w:ascii="Helvetica" w:eastAsia="Times New Roman" w:hAnsi="Helvetica" w:cs="Times New Roman"/>
          <w:sz w:val="22"/>
          <w:lang w:eastAsia="en-GB"/>
        </w:rPr>
        <w:t>The net impact</w:t>
      </w:r>
      <w:r w:rsidR="00566527">
        <w:rPr>
          <w:rFonts w:ascii="Helvetica" w:eastAsia="Times New Roman" w:hAnsi="Helvetica" w:cs="Times New Roman"/>
          <w:sz w:val="22"/>
          <w:lang w:eastAsia="en-GB"/>
        </w:rPr>
        <w:t>s</w:t>
      </w:r>
      <w:r w:rsidR="00566527" w:rsidRPr="00B44120">
        <w:rPr>
          <w:rFonts w:ascii="Helvetica" w:eastAsia="Times New Roman" w:hAnsi="Helvetica" w:cs="Times New Roman"/>
          <w:sz w:val="22"/>
          <w:lang w:eastAsia="en-GB"/>
        </w:rPr>
        <w:t xml:space="preserve"> of pyrolysis</w:t>
      </w:r>
      <w:r w:rsidR="00566527">
        <w:rPr>
          <w:rFonts w:ascii="Helvetica" w:eastAsia="Times New Roman" w:hAnsi="Helvetica" w:cs="Times New Roman"/>
          <w:sz w:val="22"/>
          <w:lang w:eastAsia="en-GB"/>
        </w:rPr>
        <w:t xml:space="preserve"> </w:t>
      </w:r>
      <w:r w:rsidR="00566527">
        <w:rPr>
          <w:rFonts w:ascii="Helvetica" w:eastAsia="Times New Roman" w:hAnsi="Helvetica" w:cs="Times New Roman"/>
          <w:sz w:val="22"/>
        </w:rPr>
        <w:t>and fluidised-bed process</w:t>
      </w:r>
      <w:r w:rsidR="00566527">
        <w:rPr>
          <w:rFonts w:ascii="Helvetica" w:eastAsia="Times New Roman" w:hAnsi="Helvetica" w:cs="Times New Roman"/>
          <w:sz w:val="22"/>
          <w:lang w:eastAsia="en-GB"/>
        </w:rPr>
        <w:t xml:space="preserve"> are</w:t>
      </w:r>
      <w:r w:rsidR="00566527" w:rsidRPr="00B44120">
        <w:rPr>
          <w:rFonts w:ascii="Helvetica" w:eastAsia="Times New Roman" w:hAnsi="Helvetica" w:cs="Times New Roman"/>
          <w:sz w:val="22"/>
          <w:lang w:eastAsia="en-GB"/>
        </w:rPr>
        <w:t xml:space="preserve"> still the highest, at </w:t>
      </w:r>
      <w:r w:rsidR="00566527">
        <w:rPr>
          <w:rFonts w:ascii="Helvetica" w:eastAsia="Times New Roman" w:hAnsi="Helvetica" w:cs="Times New Roman"/>
          <w:sz w:val="22"/>
          <w:lang w:eastAsia="en-GB"/>
        </w:rPr>
        <w:t>98</w:t>
      </w:r>
      <w:r w:rsidR="00566527" w:rsidRPr="00B44120">
        <w:rPr>
          <w:rFonts w:ascii="Helvetica" w:eastAsia="Times New Roman" w:hAnsi="Helvetica" w:cs="Times New Roman"/>
          <w:sz w:val="22"/>
          <w:lang w:eastAsia="en-GB"/>
        </w:rPr>
        <w:t>% compared to landfill.</w:t>
      </w:r>
      <w:r w:rsidR="00566527">
        <w:rPr>
          <w:rFonts w:ascii="Helvetica" w:eastAsia="Times New Roman" w:hAnsi="Helvetica" w:cs="Times New Roman"/>
          <w:sz w:val="22"/>
          <w:lang w:eastAsia="en-GB"/>
        </w:rPr>
        <w:t xml:space="preserve"> T</w:t>
      </w:r>
      <w:r w:rsidRPr="00B44120">
        <w:rPr>
          <w:rFonts w:ascii="Helvetica" w:eastAsia="Times New Roman" w:hAnsi="Helvetica" w:cs="Times New Roman"/>
          <w:sz w:val="22"/>
          <w:lang w:eastAsia="en-GB"/>
        </w:rPr>
        <w:t>he incineration impact</w:t>
      </w:r>
      <w:r w:rsidR="0050556F">
        <w:rPr>
          <w:rFonts w:ascii="Helvetica" w:eastAsia="Times New Roman" w:hAnsi="Helvetica" w:cs="Times New Roman"/>
          <w:sz w:val="22"/>
          <w:lang w:eastAsia="en-GB"/>
        </w:rPr>
        <w:t>, however,</w:t>
      </w:r>
      <w:r w:rsidRPr="00B44120">
        <w:rPr>
          <w:rFonts w:ascii="Helvetica" w:eastAsia="Times New Roman" w:hAnsi="Helvetica" w:cs="Times New Roman"/>
          <w:sz w:val="22"/>
          <w:lang w:eastAsia="en-GB"/>
        </w:rPr>
        <w:t xml:space="preserve"> increases to 97%. </w:t>
      </w:r>
      <w:r w:rsidR="003F2208">
        <w:rPr>
          <w:rFonts w:ascii="Helvetica" w:eastAsia="Times New Roman" w:hAnsi="Helvetica" w:cs="Times New Roman"/>
          <w:sz w:val="22"/>
          <w:lang w:eastAsia="en-GB"/>
        </w:rPr>
        <w:t xml:space="preserve">Although the </w:t>
      </w:r>
      <w:r w:rsidR="006B0AC5">
        <w:rPr>
          <w:rFonts w:ascii="Helvetica" w:eastAsia="Times New Roman" w:hAnsi="Helvetica" w:cs="Times New Roman"/>
          <w:sz w:val="22"/>
          <w:lang w:eastAsia="en-GB"/>
        </w:rPr>
        <w:t>CF</w:t>
      </w:r>
      <w:r w:rsidR="003F2208">
        <w:rPr>
          <w:rFonts w:ascii="Helvetica" w:eastAsia="Times New Roman" w:hAnsi="Helvetica" w:cs="Times New Roman"/>
          <w:sz w:val="22"/>
          <w:lang w:eastAsia="en-GB"/>
        </w:rPr>
        <w:t xml:space="preserve"> releases some incineration energy,</w:t>
      </w:r>
      <w:r w:rsidR="00D32E18">
        <w:rPr>
          <w:rFonts w:ascii="Helvetica" w:eastAsia="Times New Roman" w:hAnsi="Helvetica" w:cs="Times New Roman"/>
          <w:sz w:val="22"/>
          <w:lang w:eastAsia="en-GB"/>
        </w:rPr>
        <w:t xml:space="preserve"> </w:t>
      </w:r>
      <w:r w:rsidR="003F2208">
        <w:rPr>
          <w:rFonts w:ascii="Helvetica" w:eastAsia="Times New Roman" w:hAnsi="Helvetica" w:cs="Times New Roman"/>
          <w:sz w:val="22"/>
          <w:lang w:eastAsia="en-GB"/>
        </w:rPr>
        <w:t>its manufacture stage is very energy-intensive so the</w:t>
      </w:r>
      <w:r w:rsidR="00D32E18">
        <w:rPr>
          <w:rFonts w:ascii="Helvetica" w:eastAsia="Times New Roman" w:hAnsi="Helvetica" w:cs="Times New Roman"/>
          <w:sz w:val="22"/>
          <w:lang w:eastAsia="en-GB"/>
        </w:rPr>
        <w:t xml:space="preserve"> </w:t>
      </w:r>
      <w:r w:rsidR="00CC2388">
        <w:rPr>
          <w:rFonts w:ascii="Helvetica" w:eastAsia="Times New Roman" w:hAnsi="Helvetica" w:cs="Times New Roman"/>
          <w:sz w:val="22"/>
          <w:lang w:eastAsia="en-GB"/>
        </w:rPr>
        <w:t xml:space="preserve">beneficial </w:t>
      </w:r>
      <w:r w:rsidR="00D32E18">
        <w:rPr>
          <w:rFonts w:ascii="Helvetica" w:eastAsia="Times New Roman" w:hAnsi="Helvetica" w:cs="Times New Roman"/>
          <w:sz w:val="22"/>
          <w:lang w:eastAsia="en-GB"/>
        </w:rPr>
        <w:t xml:space="preserve">effect of energy recovered from the incineration process is </w:t>
      </w:r>
      <w:r w:rsidR="00CC2388">
        <w:rPr>
          <w:rFonts w:ascii="Helvetica" w:eastAsia="Times New Roman" w:hAnsi="Helvetica" w:cs="Times New Roman"/>
          <w:sz w:val="22"/>
          <w:lang w:eastAsia="en-GB"/>
        </w:rPr>
        <w:t>small by comparison</w:t>
      </w:r>
      <w:r w:rsidR="00D32E18">
        <w:rPr>
          <w:rFonts w:ascii="Helvetica" w:eastAsia="Times New Roman" w:hAnsi="Helvetica" w:cs="Times New Roman"/>
          <w:sz w:val="22"/>
          <w:lang w:eastAsia="en-GB"/>
        </w:rPr>
        <w:t xml:space="preserve">. </w:t>
      </w:r>
      <w:r w:rsidR="0018277C">
        <w:rPr>
          <w:rFonts w:ascii="Helvetica" w:eastAsia="Times New Roman" w:hAnsi="Helvetica" w:cs="Times New Roman"/>
          <w:sz w:val="22"/>
          <w:lang w:eastAsia="en-GB"/>
        </w:rPr>
        <w:t>The impact of m</w:t>
      </w:r>
      <w:r w:rsidRPr="00B44120">
        <w:rPr>
          <w:rFonts w:ascii="Helvetica" w:eastAsia="Times New Roman" w:hAnsi="Helvetica" w:cs="Times New Roman"/>
          <w:sz w:val="22"/>
          <w:lang w:eastAsia="en-GB"/>
        </w:rPr>
        <w:t xml:space="preserve">echanical recycling, MAP, HVF and LE 2 </w:t>
      </w:r>
      <w:r w:rsidR="00D32E18" w:rsidRPr="00B44120">
        <w:rPr>
          <w:rFonts w:ascii="Helvetica" w:eastAsia="Times New Roman" w:hAnsi="Helvetica" w:cs="Times New Roman"/>
          <w:sz w:val="22"/>
          <w:lang w:eastAsia="en-GB"/>
        </w:rPr>
        <w:t>years</w:t>
      </w:r>
      <w:r w:rsidRPr="00B44120">
        <w:rPr>
          <w:rFonts w:ascii="Helvetica" w:eastAsia="Times New Roman" w:hAnsi="Helvetica" w:cs="Times New Roman"/>
          <w:sz w:val="22"/>
          <w:lang w:eastAsia="en-GB"/>
        </w:rPr>
        <w:t xml:space="preserve"> are in the range of 8</w:t>
      </w:r>
      <w:r w:rsidR="00946F36">
        <w:rPr>
          <w:rFonts w:ascii="Helvetica" w:eastAsia="Times New Roman" w:hAnsi="Helvetica" w:cs="Times New Roman"/>
          <w:sz w:val="22"/>
          <w:lang w:eastAsia="en-GB"/>
        </w:rPr>
        <w:t>4</w:t>
      </w:r>
      <w:r w:rsidRPr="00B44120">
        <w:rPr>
          <w:rFonts w:ascii="Helvetica" w:eastAsia="Times New Roman" w:hAnsi="Helvetica" w:cs="Times New Roman"/>
          <w:sz w:val="22"/>
          <w:lang w:eastAsia="en-GB"/>
        </w:rPr>
        <w:t xml:space="preserve">% to 90% which are slightly reduced compared to the results for the GF blade. Chemical recycling shows the most promise here, and can reduce the net impact to 72% of landfill, less than that of LE 5 years but still exceeding that of LE 10 years. </w:t>
      </w:r>
    </w:p>
    <w:p w14:paraId="42DE36C5" w14:textId="77777777" w:rsidR="00D71B78" w:rsidRDefault="00B44120" w:rsidP="00D71B78">
      <w:pPr>
        <w:pStyle w:val="Heading2"/>
        <w:rPr>
          <w:lang w:eastAsia="en-US"/>
        </w:rPr>
      </w:pPr>
      <w:r w:rsidRPr="002A6DBD">
        <w:rPr>
          <w:lang w:eastAsia="en-US"/>
        </w:rPr>
        <w:lastRenderedPageBreak/>
        <w:t>Full CF blad</w:t>
      </w:r>
      <w:bookmarkStart w:id="10" w:name="_Toc486170181"/>
      <w:r w:rsidR="00D71B78">
        <w:rPr>
          <w:lang w:eastAsia="en-US"/>
        </w:rPr>
        <w:t>e</w:t>
      </w:r>
    </w:p>
    <w:p w14:paraId="61E808A5" w14:textId="77777777" w:rsidR="00B44120" w:rsidRDefault="004D4E41" w:rsidP="00645A59">
      <w:pPr>
        <w:rPr>
          <w:lang w:eastAsia="en-US"/>
        </w:rPr>
      </w:pPr>
      <w:r>
        <w:rPr>
          <w:noProof/>
          <w:lang w:eastAsia="zh-CN"/>
        </w:rPr>
        <w:drawing>
          <wp:inline distT="0" distB="0" distL="0" distR="0" wp14:anchorId="7410027B" wp14:editId="554ED023">
            <wp:extent cx="5727700" cy="3695700"/>
            <wp:effectExtent l="0" t="0" r="6350" b="0"/>
            <wp:docPr id="10" name="Chart 10">
              <a:extLst xmlns:a="http://schemas.openxmlformats.org/drawingml/2006/main">
                <a:ext uri="{FF2B5EF4-FFF2-40B4-BE49-F238E27FC236}">
                  <a16:creationId xmlns:mo="http://schemas.microsoft.com/office/mac/office/2008/main" xmlns:mv="urn:schemas-microsoft-com:mac:vml"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07D0E" w14:textId="22AD9031" w:rsidR="00B44120" w:rsidRPr="002A6DBD" w:rsidRDefault="00B44120" w:rsidP="0022044B">
      <w:pPr>
        <w:pStyle w:val="Caption"/>
      </w:pPr>
      <w:r w:rsidRPr="002A6DBD">
        <w:t xml:space="preserve">Figure </w:t>
      </w:r>
      <w:r w:rsidR="00107EB7">
        <w:fldChar w:fldCharType="begin"/>
      </w:r>
      <w:r w:rsidR="00377D2D">
        <w:instrText xml:space="preserve"> SEQ Figure \* ARABIC </w:instrText>
      </w:r>
      <w:r w:rsidR="00107EB7">
        <w:fldChar w:fldCharType="separate"/>
      </w:r>
      <w:r w:rsidR="00CB61A7">
        <w:rPr>
          <w:noProof/>
        </w:rPr>
        <w:t>4</w:t>
      </w:r>
      <w:r w:rsidR="00107EB7">
        <w:rPr>
          <w:noProof/>
        </w:rPr>
        <w:fldChar w:fldCharType="end"/>
      </w:r>
      <w:r w:rsidRPr="002A6DBD">
        <w:t>: Full carbon fibre blade net impacts</w:t>
      </w:r>
      <w:r w:rsidR="00650E30" w:rsidRPr="00650E30">
        <w:t xml:space="preserve"> </w:t>
      </w:r>
      <w:r w:rsidR="00650E30">
        <w:t>of waste treatment options (incineration, mechanical, fluidised bed, pyrolysis, MAP, chemical, and HVF processes) and life extension for 2, 5 and</w:t>
      </w:r>
      <w:r w:rsidR="00387CB7">
        <w:t xml:space="preserve"> 10 years</w:t>
      </w:r>
      <w:r w:rsidR="00387CB7" w:rsidRPr="002A6DBD">
        <w:t xml:space="preserve"> compared to </w:t>
      </w:r>
      <w:r w:rsidR="00387CB7">
        <w:t xml:space="preserve">conventional </w:t>
      </w:r>
      <w:r w:rsidR="00387CB7" w:rsidRPr="002A6DBD">
        <w:t>landfill</w:t>
      </w:r>
      <w:r w:rsidR="00387CB7">
        <w:t xml:space="preserve"> as the benchmark process</w:t>
      </w:r>
      <w:r w:rsidRPr="002A6DBD">
        <w:t>.</w:t>
      </w:r>
      <w:bookmarkEnd w:id="10"/>
      <w:r w:rsidR="005F3D6F">
        <w:t xml:space="preserve"> MAP=</w:t>
      </w:r>
      <w:r w:rsidR="005F3D6F" w:rsidRPr="005F3D6F">
        <w:t>Microwave Assisted Pyrolysis</w:t>
      </w:r>
      <w:r w:rsidR="005F3D6F">
        <w:t>, HVF=</w:t>
      </w:r>
      <w:r w:rsidR="005F3D6F" w:rsidRPr="005F3D6F">
        <w:t>High Voltage Fragmentation</w:t>
      </w:r>
      <w:r w:rsidR="005F3D6F">
        <w:t>, LE=life extension.</w:t>
      </w:r>
    </w:p>
    <w:p w14:paraId="291D6D0C" w14:textId="5C80E0BD" w:rsidR="003B56D7" w:rsidRPr="00FF14B7" w:rsidRDefault="00393D15" w:rsidP="00FF14B7">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t xml:space="preserve">The manufacturing energy consumption of virgin CF is 286 MJ/kg which is 4.5 times higher than for GF and 1.2 times higher than for epoxy resin. For the CF blades, the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options that can reclaim </w:t>
      </w:r>
      <w:r w:rsidR="00AD20D1">
        <w:rPr>
          <w:rFonts w:ascii="Helvetica" w:eastAsia="Times New Roman" w:hAnsi="Helvetica" w:cs="Times New Roman"/>
          <w:sz w:val="22"/>
          <w:lang w:eastAsia="en-GB"/>
        </w:rPr>
        <w:t>CF</w:t>
      </w:r>
      <w:r w:rsidRPr="00B44120">
        <w:rPr>
          <w:rFonts w:ascii="Helvetica" w:eastAsia="Times New Roman" w:hAnsi="Helvetica" w:cs="Times New Roman"/>
          <w:sz w:val="22"/>
          <w:lang w:eastAsia="en-GB"/>
        </w:rPr>
        <w:t xml:space="preserve"> with less fibre performance damage are more favourable as higher recyclate values will be attained. The energy consumption of the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processes </w:t>
      </w:r>
      <w:r w:rsidR="0018277C">
        <w:rPr>
          <w:rFonts w:ascii="Helvetica" w:eastAsia="Times New Roman" w:hAnsi="Helvetica" w:cs="Times New Roman"/>
          <w:sz w:val="22"/>
          <w:lang w:eastAsia="en-GB"/>
        </w:rPr>
        <w:t>is a smaller part of the total impact and so has less effect. T</w:t>
      </w:r>
      <w:r w:rsidR="00B44120" w:rsidRPr="00B44120">
        <w:rPr>
          <w:rFonts w:ascii="Helvetica" w:eastAsia="Times New Roman" w:hAnsi="Helvetica" w:cs="Times New Roman"/>
          <w:sz w:val="22"/>
          <w:lang w:eastAsia="en-GB"/>
        </w:rPr>
        <w:t xml:space="preserve">he </w:t>
      </w:r>
      <w:r w:rsidR="0018277C">
        <w:rPr>
          <w:rFonts w:ascii="Helvetica" w:eastAsia="Times New Roman" w:hAnsi="Helvetica" w:cs="Times New Roman"/>
          <w:sz w:val="22"/>
          <w:lang w:eastAsia="en-GB"/>
        </w:rPr>
        <w:t xml:space="preserve">least competitive process for CF blades is </w:t>
      </w:r>
      <w:r w:rsidR="00B44120" w:rsidRPr="00B44120">
        <w:rPr>
          <w:rFonts w:ascii="Helvetica" w:eastAsia="Times New Roman" w:hAnsi="Helvetica" w:cs="Times New Roman"/>
          <w:sz w:val="22"/>
          <w:lang w:eastAsia="en-GB"/>
        </w:rPr>
        <w:t>incineration</w:t>
      </w:r>
      <w:r w:rsidR="0018277C">
        <w:rPr>
          <w:rFonts w:ascii="Helvetica" w:eastAsia="Times New Roman" w:hAnsi="Helvetica" w:cs="Times New Roman"/>
          <w:sz w:val="22"/>
          <w:lang w:eastAsia="en-GB"/>
        </w:rPr>
        <w:t>, which ha</w:t>
      </w:r>
      <w:r>
        <w:rPr>
          <w:rFonts w:ascii="Helvetica" w:eastAsia="Times New Roman" w:hAnsi="Helvetica" w:cs="Times New Roman"/>
          <w:sz w:val="22"/>
          <w:lang w:eastAsia="en-GB"/>
        </w:rPr>
        <w:t>s</w:t>
      </w:r>
      <w:r w:rsidR="00B44120" w:rsidRPr="00B44120">
        <w:rPr>
          <w:rFonts w:ascii="Helvetica" w:eastAsia="Times New Roman" w:hAnsi="Helvetica" w:cs="Times New Roman"/>
          <w:sz w:val="22"/>
          <w:lang w:eastAsia="en-GB"/>
        </w:rPr>
        <w:t xml:space="preserve"> 98% of </w:t>
      </w:r>
      <w:r w:rsidR="0018277C">
        <w:rPr>
          <w:rFonts w:ascii="Helvetica" w:eastAsia="Times New Roman" w:hAnsi="Helvetica" w:cs="Times New Roman"/>
          <w:sz w:val="22"/>
          <w:lang w:eastAsia="en-GB"/>
        </w:rPr>
        <w:t xml:space="preserve">the impact of </w:t>
      </w:r>
      <w:r w:rsidR="00B44120" w:rsidRPr="00B44120">
        <w:rPr>
          <w:rFonts w:ascii="Helvetica" w:eastAsia="Times New Roman" w:hAnsi="Helvetica" w:cs="Times New Roman"/>
          <w:sz w:val="22"/>
          <w:lang w:eastAsia="en-GB"/>
        </w:rPr>
        <w:t xml:space="preserve">landfill. The ready-to-go technologies such as the fluidised-bed and pyrolysis </w:t>
      </w:r>
      <w:r w:rsidR="00D964B9" w:rsidRPr="00B44120">
        <w:rPr>
          <w:rFonts w:ascii="Helvetica" w:eastAsia="Times New Roman" w:hAnsi="Helvetica" w:cs="Times New Roman"/>
          <w:sz w:val="22"/>
          <w:lang w:eastAsia="en-GB"/>
        </w:rPr>
        <w:t>process</w:t>
      </w:r>
      <w:r w:rsidR="00D964B9">
        <w:rPr>
          <w:rFonts w:ascii="Helvetica" w:eastAsia="Times New Roman" w:hAnsi="Helvetica" w:cs="Times New Roman"/>
          <w:sz w:val="22"/>
          <w:lang w:eastAsia="en-GB"/>
        </w:rPr>
        <w:t>es</w:t>
      </w:r>
      <w:r w:rsidR="00D964B9"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can reduce the impact </w:t>
      </w:r>
      <w:r w:rsidR="00A1219E">
        <w:rPr>
          <w:rFonts w:ascii="Helvetica" w:eastAsia="Times New Roman" w:hAnsi="Helvetica" w:cs="Times New Roman"/>
          <w:sz w:val="22"/>
          <w:lang w:eastAsia="en-GB"/>
        </w:rPr>
        <w:t>to</w:t>
      </w:r>
      <w:r w:rsidR="00A1219E"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around </w:t>
      </w:r>
      <w:r w:rsidR="00A1219E">
        <w:rPr>
          <w:rFonts w:ascii="Helvetica" w:eastAsia="Times New Roman" w:hAnsi="Helvetica" w:cs="Times New Roman"/>
          <w:sz w:val="22"/>
          <w:lang w:eastAsia="en-GB"/>
        </w:rPr>
        <w:t>8</w:t>
      </w:r>
      <w:r w:rsidR="00A1219E" w:rsidRPr="00B44120">
        <w:rPr>
          <w:rFonts w:ascii="Helvetica" w:eastAsia="Times New Roman" w:hAnsi="Helvetica" w:cs="Times New Roman"/>
          <w:sz w:val="22"/>
          <w:lang w:eastAsia="en-GB"/>
        </w:rPr>
        <w:t>0</w:t>
      </w:r>
      <w:r w:rsidR="00B44120" w:rsidRPr="00B44120">
        <w:rPr>
          <w:rFonts w:ascii="Helvetica" w:eastAsia="Times New Roman" w:hAnsi="Helvetica" w:cs="Times New Roman"/>
          <w:sz w:val="22"/>
          <w:lang w:eastAsia="en-GB"/>
        </w:rPr>
        <w:t>%. More advanced processes like HVF can significantly reduce the net impacts to 7</w:t>
      </w:r>
      <w:r w:rsidR="00AD20D1">
        <w:rPr>
          <w:rFonts w:ascii="Helvetica" w:eastAsia="Times New Roman" w:hAnsi="Helvetica" w:cs="Times New Roman"/>
          <w:sz w:val="22"/>
          <w:lang w:eastAsia="en-GB"/>
        </w:rPr>
        <w:t>2</w:t>
      </w:r>
      <w:r w:rsidR="00B44120" w:rsidRPr="00B44120">
        <w:rPr>
          <w:rFonts w:ascii="Helvetica" w:eastAsia="Times New Roman" w:hAnsi="Helvetica" w:cs="Times New Roman"/>
          <w:sz w:val="22"/>
          <w:lang w:eastAsia="en-GB"/>
        </w:rPr>
        <w:t xml:space="preserve">%. Chemical recycling provides the best result among </w:t>
      </w:r>
      <w:r w:rsidR="00FD143F">
        <w:rPr>
          <w:rFonts w:ascii="Helvetica" w:eastAsia="Times New Roman" w:hAnsi="Helvetica" w:cs="Times New Roman"/>
          <w:sz w:val="22"/>
          <w:lang w:eastAsia="en-GB"/>
        </w:rPr>
        <w:t xml:space="preserve">the </w:t>
      </w:r>
      <w:r w:rsidR="00B44120" w:rsidRPr="00B44120">
        <w:rPr>
          <w:rFonts w:ascii="Helvetica" w:eastAsia="Times New Roman" w:hAnsi="Helvetica" w:cs="Times New Roman"/>
          <w:sz w:val="22"/>
          <w:lang w:eastAsia="en-GB"/>
        </w:rPr>
        <w:t>recycling options with only 56% net impact compared to landfill</w:t>
      </w:r>
      <w:r w:rsidR="00FD143F">
        <w:rPr>
          <w:rFonts w:ascii="Helvetica" w:eastAsia="Times New Roman" w:hAnsi="Helvetica" w:cs="Times New Roman"/>
          <w:sz w:val="22"/>
          <w:lang w:eastAsia="en-GB"/>
        </w:rPr>
        <w:t>. This</w:t>
      </w:r>
      <w:r w:rsidR="00B44120" w:rsidRPr="00B44120">
        <w:rPr>
          <w:rFonts w:ascii="Helvetica" w:eastAsia="Times New Roman" w:hAnsi="Helvetica" w:cs="Times New Roman"/>
          <w:sz w:val="22"/>
          <w:lang w:eastAsia="en-GB"/>
        </w:rPr>
        <w:t xml:space="preserve"> is just 3% higher than </w:t>
      </w:r>
      <w:r w:rsidR="00FD143F" w:rsidRPr="00B44120">
        <w:rPr>
          <w:rFonts w:ascii="Helvetica" w:eastAsia="Times New Roman" w:hAnsi="Helvetica" w:cs="Times New Roman"/>
          <w:sz w:val="22"/>
          <w:lang w:eastAsia="en-GB"/>
        </w:rPr>
        <w:t>th</w:t>
      </w:r>
      <w:r w:rsidR="00FD143F">
        <w:rPr>
          <w:rFonts w:ascii="Helvetica" w:eastAsia="Times New Roman" w:hAnsi="Helvetica" w:cs="Times New Roman"/>
          <w:sz w:val="22"/>
          <w:lang w:eastAsia="en-GB"/>
        </w:rPr>
        <w:t>e impact</w:t>
      </w:r>
      <w:r w:rsidR="00FD143F"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of LE 10 years. </w:t>
      </w:r>
    </w:p>
    <w:p w14:paraId="68ED39F4" w14:textId="77777777" w:rsidR="00B44120" w:rsidRPr="002A6DBD" w:rsidRDefault="00B44120" w:rsidP="003B56D7">
      <w:pPr>
        <w:pStyle w:val="Heading2"/>
        <w:rPr>
          <w:lang w:eastAsia="en-US"/>
        </w:rPr>
      </w:pPr>
      <w:r w:rsidRPr="002A6DBD">
        <w:rPr>
          <w:rFonts w:hint="eastAsia"/>
          <w:lang w:eastAsia="en-US"/>
        </w:rPr>
        <w:t>Sen</w:t>
      </w:r>
      <w:r w:rsidRPr="002A6DBD">
        <w:rPr>
          <w:lang w:eastAsia="en-US"/>
        </w:rPr>
        <w:t>sitivity analysis</w:t>
      </w:r>
    </w:p>
    <w:p w14:paraId="6FD52240" w14:textId="77777777" w:rsidR="001E601A" w:rsidRPr="00D71B78" w:rsidRDefault="001E601A" w:rsidP="00D71B78">
      <w:pPr>
        <w:tabs>
          <w:tab w:val="left" w:pos="851"/>
        </w:tabs>
        <w:spacing w:before="120" w:line="360" w:lineRule="auto"/>
        <w:rPr>
          <w:rFonts w:ascii="Helvetica" w:eastAsia="Times New Roman" w:hAnsi="Helvetica" w:cs="Times New Roman"/>
          <w:sz w:val="22"/>
          <w:lang w:eastAsia="en-GB"/>
        </w:rPr>
      </w:pPr>
      <w:r w:rsidRPr="00D71B78">
        <w:rPr>
          <w:rFonts w:ascii="Helvetica" w:eastAsia="Times New Roman" w:hAnsi="Helvetica" w:cs="Times New Roman"/>
          <w:sz w:val="22"/>
          <w:lang w:eastAsia="en-GB"/>
        </w:rPr>
        <w:t xml:space="preserve">In the following analysis, the effect </w:t>
      </w:r>
      <w:r w:rsidR="00D964B9" w:rsidRPr="00D71B78">
        <w:rPr>
          <w:rFonts w:ascii="Helvetica" w:eastAsia="Times New Roman" w:hAnsi="Helvetica" w:cs="Times New Roman"/>
          <w:sz w:val="22"/>
          <w:lang w:eastAsia="en-GB"/>
        </w:rPr>
        <w:t xml:space="preserve">of variations in </w:t>
      </w:r>
      <w:proofErr w:type="spellStart"/>
      <w:r w:rsidR="00D964B9" w:rsidRPr="00D71B78">
        <w:rPr>
          <w:rFonts w:ascii="Helvetica" w:eastAsia="Times New Roman" w:hAnsi="Helvetica" w:cs="Times New Roman"/>
          <w:sz w:val="22"/>
          <w:lang w:eastAsia="en-GB"/>
        </w:rPr>
        <w:t>EoL</w:t>
      </w:r>
      <w:proofErr w:type="spellEnd"/>
      <w:r w:rsidR="00D964B9" w:rsidRPr="00D71B78">
        <w:rPr>
          <w:rFonts w:ascii="Helvetica" w:eastAsia="Times New Roman" w:hAnsi="Helvetica" w:cs="Times New Roman"/>
          <w:sz w:val="22"/>
          <w:lang w:eastAsia="en-GB"/>
        </w:rPr>
        <w:t xml:space="preserve"> impact and recycling benefit </w:t>
      </w:r>
      <w:r w:rsidRPr="00D71B78">
        <w:rPr>
          <w:rFonts w:ascii="Helvetica" w:eastAsia="Times New Roman" w:hAnsi="Helvetica" w:cs="Times New Roman"/>
          <w:sz w:val="22"/>
          <w:lang w:eastAsia="en-GB"/>
        </w:rPr>
        <w:t xml:space="preserve">on net </w:t>
      </w:r>
      <w:r w:rsidR="00D964B9">
        <w:rPr>
          <w:rFonts w:ascii="Helvetica" w:eastAsia="Times New Roman" w:hAnsi="Helvetica" w:cs="Times New Roman"/>
          <w:sz w:val="22"/>
          <w:lang w:eastAsia="en-GB"/>
        </w:rPr>
        <w:t xml:space="preserve">lifetime </w:t>
      </w:r>
      <w:r w:rsidRPr="00D71B78">
        <w:rPr>
          <w:rFonts w:ascii="Helvetica" w:eastAsia="Times New Roman" w:hAnsi="Helvetica" w:cs="Times New Roman"/>
          <w:sz w:val="22"/>
          <w:lang w:eastAsia="en-GB"/>
        </w:rPr>
        <w:t xml:space="preserve">impact are assessed. The </w:t>
      </w:r>
      <w:proofErr w:type="spellStart"/>
      <w:r w:rsidRPr="00D71B78">
        <w:rPr>
          <w:rFonts w:ascii="Helvetica" w:eastAsia="Times New Roman" w:hAnsi="Helvetica" w:cs="Times New Roman"/>
          <w:sz w:val="22"/>
          <w:lang w:eastAsia="en-GB"/>
        </w:rPr>
        <w:t>EoL</w:t>
      </w:r>
      <w:proofErr w:type="spellEnd"/>
      <w:r w:rsidRPr="00D71B78">
        <w:rPr>
          <w:rFonts w:ascii="Helvetica" w:eastAsia="Times New Roman" w:hAnsi="Helvetica" w:cs="Times New Roman"/>
          <w:sz w:val="22"/>
          <w:lang w:eastAsia="en-GB"/>
        </w:rPr>
        <w:t xml:space="preserve"> impact data is represented as range bars, using the full range of data from the literature (discussed in </w:t>
      </w:r>
      <w:r w:rsidR="00D964B9">
        <w:rPr>
          <w:rFonts w:ascii="Helvetica" w:eastAsia="Times New Roman" w:hAnsi="Helvetica" w:cs="Times New Roman"/>
          <w:sz w:val="22"/>
          <w:lang w:eastAsia="en-GB"/>
        </w:rPr>
        <w:t xml:space="preserve">Section </w:t>
      </w:r>
      <w:r w:rsidRPr="00D71B78">
        <w:rPr>
          <w:rFonts w:ascii="Helvetica" w:eastAsia="Times New Roman" w:hAnsi="Helvetica" w:cs="Times New Roman"/>
          <w:sz w:val="22"/>
          <w:lang w:eastAsia="en-GB"/>
        </w:rPr>
        <w:t>2.4). Where the literature is limited or there is only a single data source (</w:t>
      </w:r>
      <w:r w:rsidRPr="00B44120">
        <w:rPr>
          <w:rFonts w:ascii="Helvetica" w:eastAsia="Times New Roman" w:hAnsi="Helvetica" w:cs="Times New Roman"/>
          <w:sz w:val="22"/>
          <w:lang w:eastAsia="en-GB"/>
        </w:rPr>
        <w:t>fluidised-bed, pyrolysis</w:t>
      </w:r>
      <w:r>
        <w:rPr>
          <w:rFonts w:ascii="Helvetica" w:eastAsia="Times New Roman" w:hAnsi="Helvetica" w:cs="Times New Roman"/>
          <w:sz w:val="22"/>
          <w:lang w:eastAsia="en-GB"/>
        </w:rPr>
        <w:t>,</w:t>
      </w:r>
      <w:r w:rsidRPr="00B44120">
        <w:rPr>
          <w:rFonts w:ascii="Helvetica" w:eastAsia="Times New Roman" w:hAnsi="Helvetica" w:cs="Times New Roman"/>
          <w:sz w:val="22"/>
          <w:lang w:eastAsia="en-GB"/>
        </w:rPr>
        <w:t xml:space="preserve"> </w:t>
      </w:r>
      <w:proofErr w:type="gramStart"/>
      <w:r w:rsidRPr="00B44120">
        <w:rPr>
          <w:rFonts w:ascii="Helvetica" w:eastAsia="Times New Roman" w:hAnsi="Helvetica" w:cs="Times New Roman"/>
          <w:sz w:val="22"/>
          <w:lang w:eastAsia="en-GB"/>
        </w:rPr>
        <w:t>microwave</w:t>
      </w:r>
      <w:proofErr w:type="gramEnd"/>
      <w:r w:rsidRPr="00B44120">
        <w:rPr>
          <w:rFonts w:ascii="Helvetica" w:eastAsia="Times New Roman" w:hAnsi="Helvetica" w:cs="Times New Roman"/>
          <w:sz w:val="22"/>
          <w:lang w:eastAsia="en-GB"/>
        </w:rPr>
        <w:t xml:space="preserve"> assisted pyrolysis (MAP) </w:t>
      </w:r>
      <w:r>
        <w:rPr>
          <w:rFonts w:ascii="Helvetica" w:eastAsia="Times New Roman" w:hAnsi="Helvetica" w:cs="Times New Roman"/>
          <w:sz w:val="22"/>
          <w:lang w:eastAsia="en-GB"/>
        </w:rPr>
        <w:t xml:space="preserve">and lifetime extension) </w:t>
      </w:r>
      <w:r w:rsidRPr="00B44120">
        <w:rPr>
          <w:rFonts w:ascii="Helvetica" w:eastAsia="Times New Roman" w:hAnsi="Helvetica" w:cs="Times New Roman"/>
          <w:sz w:val="22"/>
          <w:lang w:eastAsia="en-GB"/>
        </w:rPr>
        <w:t xml:space="preserve">processing energies </w:t>
      </w:r>
      <w:r>
        <w:rPr>
          <w:rFonts w:ascii="Helvetica" w:eastAsia="Times New Roman" w:hAnsi="Helvetica" w:cs="Times New Roman"/>
          <w:sz w:val="22"/>
          <w:lang w:eastAsia="en-GB"/>
        </w:rPr>
        <w:t>are varied by</w:t>
      </w:r>
      <w:r w:rsidRPr="00B44120">
        <w:rPr>
          <w:rFonts w:ascii="Helvetica" w:eastAsia="Times New Roman" w:hAnsi="Helvetica" w:cs="Times New Roman"/>
          <w:sz w:val="22"/>
          <w:lang w:eastAsia="en-GB"/>
        </w:rPr>
        <w:t xml:space="preserve"> +/- 20% in order to test sensitivity</w:t>
      </w:r>
      <w:r w:rsidRPr="00D71B78">
        <w:rPr>
          <w:rFonts w:ascii="Helvetica" w:eastAsia="Times New Roman" w:hAnsi="Helvetica" w:cs="Times New Roman"/>
          <w:sz w:val="22"/>
          <w:lang w:eastAsia="en-GB"/>
        </w:rPr>
        <w:t>.</w:t>
      </w:r>
    </w:p>
    <w:p w14:paraId="505A617A" w14:textId="7457A36B" w:rsidR="00056BD5" w:rsidRPr="00FF14B7" w:rsidRDefault="000233AE" w:rsidP="00FF14B7">
      <w:pPr>
        <w:tabs>
          <w:tab w:val="left" w:pos="851"/>
        </w:tabs>
        <w:spacing w:before="120" w:line="360" w:lineRule="auto"/>
        <w:rPr>
          <w:rFonts w:ascii="Helvetica" w:eastAsia="Times New Roman" w:hAnsi="Helvetica" w:cs="Times New Roman"/>
          <w:sz w:val="22"/>
          <w:lang w:eastAsia="en-GB"/>
        </w:rPr>
      </w:pPr>
      <w:r w:rsidRPr="000233AE">
        <w:rPr>
          <w:rFonts w:ascii="Helvetica" w:eastAsia="Times New Roman" w:hAnsi="Helvetica" w:cs="Times New Roman"/>
          <w:sz w:val="22"/>
          <w:lang w:eastAsia="en-GB"/>
        </w:rPr>
        <w:lastRenderedPageBreak/>
        <w:t>The recyclate benefit, defined as a combination of yield rate and quality or value of the recyclate, is varied theoretically taking values between -100% (zero recyclate benefit) and +100% (double the base case benefit). The net environmental impact is then plotted against recyclate benefit variation. The environmental impact decreases as the recycling benefit increases, so processes may shift from being unfavourable (positive impact) to favourable (negative impact); the crossover points are indicated for such processes</w:t>
      </w:r>
      <w:r w:rsidR="00D964B9">
        <w:rPr>
          <w:rFonts w:ascii="Helvetica" w:eastAsia="Times New Roman" w:hAnsi="Helvetica" w:cs="Times New Roman"/>
          <w:sz w:val="22"/>
          <w:lang w:eastAsia="en-GB"/>
        </w:rPr>
        <w:t xml:space="preserve"> (see Figure</w:t>
      </w:r>
      <w:r w:rsidR="00FE56DB">
        <w:rPr>
          <w:rFonts w:ascii="Helvetica" w:eastAsia="Times New Roman" w:hAnsi="Helvetica" w:cs="Times New Roman"/>
          <w:sz w:val="22"/>
          <w:lang w:eastAsia="en-GB"/>
        </w:rPr>
        <w:t>s</w:t>
      </w:r>
      <w:r w:rsidR="00D964B9">
        <w:rPr>
          <w:rFonts w:ascii="Helvetica" w:eastAsia="Times New Roman" w:hAnsi="Helvetica" w:cs="Times New Roman"/>
          <w:sz w:val="22"/>
          <w:lang w:eastAsia="en-GB"/>
        </w:rPr>
        <w:t xml:space="preserve"> 6, 8 and 10)</w:t>
      </w:r>
      <w:r w:rsidRPr="000233AE">
        <w:rPr>
          <w:rFonts w:ascii="Helvetica" w:eastAsia="Times New Roman" w:hAnsi="Helvetica" w:cs="Times New Roman"/>
          <w:sz w:val="22"/>
          <w:lang w:eastAsia="en-GB"/>
        </w:rPr>
        <w:t xml:space="preserve">. This analysis provides useful guidance on where it is worth devoting effort to </w:t>
      </w:r>
      <w:proofErr w:type="spellStart"/>
      <w:r w:rsidRPr="000233AE">
        <w:rPr>
          <w:rFonts w:ascii="Helvetica" w:eastAsia="Times New Roman" w:hAnsi="Helvetica" w:cs="Times New Roman"/>
          <w:sz w:val="22"/>
          <w:lang w:eastAsia="en-GB"/>
        </w:rPr>
        <w:t>EoL</w:t>
      </w:r>
      <w:proofErr w:type="spellEnd"/>
      <w:r w:rsidRPr="000233AE">
        <w:rPr>
          <w:rFonts w:ascii="Helvetica" w:eastAsia="Times New Roman" w:hAnsi="Helvetica" w:cs="Times New Roman"/>
          <w:sz w:val="22"/>
          <w:lang w:eastAsia="en-GB"/>
        </w:rPr>
        <w:t xml:space="preserve"> process improvement.</w:t>
      </w:r>
      <w:r w:rsidR="00D964B9">
        <w:rPr>
          <w:rFonts w:ascii="Helvetica" w:eastAsia="Times New Roman" w:hAnsi="Helvetica" w:cs="Times New Roman"/>
          <w:sz w:val="22"/>
          <w:lang w:eastAsia="en-GB"/>
        </w:rPr>
        <w:t xml:space="preserve"> </w:t>
      </w:r>
      <w:r w:rsidR="0066488C">
        <w:rPr>
          <w:rFonts w:ascii="Helvetica" w:eastAsia="Times New Roman" w:hAnsi="Helvetica" w:cs="Times New Roman"/>
          <w:sz w:val="22"/>
          <w:lang w:eastAsia="en-GB"/>
        </w:rPr>
        <w:t xml:space="preserve">The results are presented in </w:t>
      </w:r>
      <w:r w:rsidR="00D964B9">
        <w:rPr>
          <w:rFonts w:ascii="Helvetica" w:eastAsia="Times New Roman" w:hAnsi="Helvetica" w:cs="Times New Roman"/>
          <w:sz w:val="22"/>
          <w:lang w:eastAsia="en-GB"/>
        </w:rPr>
        <w:t xml:space="preserve">Figures </w:t>
      </w:r>
      <w:r w:rsidR="00B37395">
        <w:rPr>
          <w:rFonts w:ascii="Helvetica" w:eastAsia="Times New Roman" w:hAnsi="Helvetica" w:cs="Times New Roman"/>
          <w:sz w:val="22"/>
          <w:lang w:eastAsia="en-GB"/>
        </w:rPr>
        <w:t>5</w:t>
      </w:r>
      <w:r w:rsidR="0066488C">
        <w:rPr>
          <w:rFonts w:ascii="Helvetica" w:eastAsia="Times New Roman" w:hAnsi="Helvetica" w:cs="Times New Roman"/>
          <w:sz w:val="22"/>
          <w:lang w:eastAsia="en-GB"/>
        </w:rPr>
        <w:t>-1</w:t>
      </w:r>
      <w:r w:rsidR="00B37395">
        <w:rPr>
          <w:rFonts w:ascii="Helvetica" w:eastAsia="Times New Roman" w:hAnsi="Helvetica" w:cs="Times New Roman"/>
          <w:sz w:val="22"/>
          <w:lang w:eastAsia="en-GB"/>
        </w:rPr>
        <w:t>0</w:t>
      </w:r>
      <w:r w:rsidR="0066488C">
        <w:rPr>
          <w:rFonts w:ascii="Helvetica" w:eastAsia="Times New Roman" w:hAnsi="Helvetica" w:cs="Times New Roman"/>
          <w:sz w:val="22"/>
          <w:lang w:eastAsia="en-GB"/>
        </w:rPr>
        <w:t xml:space="preserve"> for the three blade types.</w:t>
      </w:r>
    </w:p>
    <w:p w14:paraId="70E45791" w14:textId="45C42836" w:rsidR="00AB7248" w:rsidRPr="00AB7248" w:rsidRDefault="00AB7248" w:rsidP="00AB7248">
      <w:bookmarkStart w:id="11" w:name="_Toc486170182"/>
      <w:r>
        <w:rPr>
          <w:noProof/>
          <w:lang w:eastAsia="zh-CN"/>
        </w:rPr>
        <w:drawing>
          <wp:inline distT="0" distB="0" distL="0" distR="0" wp14:anchorId="11478094" wp14:editId="12548EF7">
            <wp:extent cx="5715000" cy="3638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6309A9" w14:textId="172C9E31" w:rsidR="00056BD5" w:rsidRDefault="00B37395" w:rsidP="00621E06">
      <w:pPr>
        <w:pStyle w:val="Caption"/>
      </w:pPr>
      <w:r>
        <w:t xml:space="preserve">Figure </w:t>
      </w:r>
      <w:r w:rsidR="00107EB7">
        <w:rPr>
          <w:noProof/>
        </w:rPr>
        <w:fldChar w:fldCharType="begin"/>
      </w:r>
      <w:r w:rsidR="00CC347B">
        <w:rPr>
          <w:noProof/>
        </w:rPr>
        <w:instrText xml:space="preserve"> SEQ Figure \* ARABIC </w:instrText>
      </w:r>
      <w:r w:rsidR="00107EB7">
        <w:rPr>
          <w:noProof/>
        </w:rPr>
        <w:fldChar w:fldCharType="separate"/>
      </w:r>
      <w:r w:rsidR="00CB61A7">
        <w:rPr>
          <w:noProof/>
        </w:rPr>
        <w:t>5</w:t>
      </w:r>
      <w:r w:rsidR="00107EB7">
        <w:rPr>
          <w:noProof/>
        </w:rPr>
        <w:fldChar w:fldCharType="end"/>
      </w:r>
      <w:r>
        <w:t xml:space="preserve">: </w:t>
      </w:r>
      <w:r w:rsidR="00056BD5" w:rsidRPr="002A6DBD">
        <w:rPr>
          <w:lang w:eastAsia="en-GB"/>
        </w:rPr>
        <w:t xml:space="preserve">Sensitivity analysis for </w:t>
      </w:r>
      <w:r w:rsidR="00144DC4" w:rsidRPr="002A6DBD">
        <w:rPr>
          <w:lang w:eastAsia="en-GB"/>
        </w:rPr>
        <w:t xml:space="preserve">energy consumption </w:t>
      </w:r>
      <w:r w:rsidR="00144DC4">
        <w:rPr>
          <w:lang w:eastAsia="en-GB"/>
        </w:rPr>
        <w:t xml:space="preserve">of </w:t>
      </w:r>
      <w:r w:rsidR="00056BD5" w:rsidRPr="002A6DBD">
        <w:rPr>
          <w:rFonts w:hint="eastAsia"/>
          <w:lang w:eastAsia="en-GB"/>
        </w:rPr>
        <w:t>the</w:t>
      </w:r>
      <w:r w:rsidR="00056BD5" w:rsidRPr="002A6DBD">
        <w:rPr>
          <w:lang w:eastAsia="en-GB"/>
        </w:rPr>
        <w:t xml:space="preserve"> </w:t>
      </w:r>
      <w:proofErr w:type="spellStart"/>
      <w:r w:rsidR="00056BD5" w:rsidRPr="002A6DBD">
        <w:rPr>
          <w:lang w:eastAsia="en-GB"/>
        </w:rPr>
        <w:t>EoL</w:t>
      </w:r>
      <w:proofErr w:type="spellEnd"/>
      <w:r w:rsidR="00056BD5" w:rsidRPr="002A6DBD">
        <w:rPr>
          <w:lang w:eastAsia="en-GB"/>
        </w:rPr>
        <w:t xml:space="preserve"> options for glass fibre blade.</w:t>
      </w:r>
      <w:bookmarkEnd w:id="11"/>
      <w:r w:rsidR="005F3D6F">
        <w:rPr>
          <w:lang w:eastAsia="en-GB"/>
        </w:rPr>
        <w:t xml:space="preserve"> </w:t>
      </w:r>
      <w:r w:rsidR="005F3D6F">
        <w:t>MAP=</w:t>
      </w:r>
      <w:r w:rsidR="005F3D6F" w:rsidRPr="005F3D6F">
        <w:t>Microwave Assisted Pyrolysis</w:t>
      </w:r>
      <w:r w:rsidR="005F3D6F">
        <w:t>, HVF=</w:t>
      </w:r>
      <w:r w:rsidR="005F3D6F" w:rsidRPr="005F3D6F">
        <w:t>High Voltage Fragmentation</w:t>
      </w:r>
      <w:r w:rsidR="005F3D6F">
        <w:t>, LE=life extension.</w:t>
      </w:r>
      <w:r w:rsidR="00311F1E">
        <w:t xml:space="preserve"> The most </w:t>
      </w:r>
      <w:r w:rsidR="00C912E9">
        <w:t>environmentally favourable processes have the most</w:t>
      </w:r>
      <w:r w:rsidR="00311F1E">
        <w:t xml:space="preserve"> negativ</w:t>
      </w:r>
      <w:r w:rsidR="00C912E9">
        <w:t>e</w:t>
      </w:r>
      <w:r w:rsidR="00311F1E">
        <w:t xml:space="preserve"> impact.</w:t>
      </w:r>
    </w:p>
    <w:p w14:paraId="0376699F" w14:textId="77777777" w:rsidR="00056BD5" w:rsidRPr="005F57AB" w:rsidRDefault="00056BD5" w:rsidP="00056BD5">
      <w:pPr>
        <w:tabs>
          <w:tab w:val="left" w:pos="851"/>
        </w:tabs>
        <w:spacing w:before="120" w:after="120"/>
        <w:rPr>
          <w:rFonts w:ascii="Helvetica" w:eastAsia="Times New Roman" w:hAnsi="Helvetica" w:cs="Times New Roman"/>
          <w:bCs/>
          <w:color w:val="44546A"/>
          <w:sz w:val="18"/>
          <w:szCs w:val="18"/>
          <w:lang w:eastAsia="en-GB"/>
        </w:rPr>
      </w:pPr>
    </w:p>
    <w:p w14:paraId="70BEA857" w14:textId="13CB1525" w:rsidR="00436312" w:rsidRDefault="00436312" w:rsidP="00436312">
      <w:pPr>
        <w:keepNext/>
      </w:pPr>
    </w:p>
    <w:p w14:paraId="3642CF71" w14:textId="57724CB4" w:rsidR="00AB7248" w:rsidRDefault="00AB7248" w:rsidP="00436312">
      <w:pPr>
        <w:keepNext/>
      </w:pPr>
      <w:r>
        <w:rPr>
          <w:noProof/>
          <w:lang w:eastAsia="zh-CN"/>
        </w:rPr>
        <w:drawing>
          <wp:inline distT="0" distB="0" distL="0" distR="0" wp14:anchorId="56F56DA8" wp14:editId="0A925693">
            <wp:extent cx="5727700" cy="3895725"/>
            <wp:effectExtent l="0" t="0" r="63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4CF88E" w14:textId="77777777" w:rsidR="00056BD5" w:rsidRPr="00621E06" w:rsidRDefault="00436312" w:rsidP="00436312">
      <w:pPr>
        <w:pStyle w:val="Caption"/>
      </w:pPr>
      <w:r>
        <w:t xml:space="preserve">Figure </w:t>
      </w:r>
      <w:r w:rsidR="00107EB7">
        <w:rPr>
          <w:noProof/>
        </w:rPr>
        <w:fldChar w:fldCharType="begin"/>
      </w:r>
      <w:r w:rsidR="00CC347B">
        <w:rPr>
          <w:noProof/>
        </w:rPr>
        <w:instrText xml:space="preserve"> SEQ Figure \* ARABIC </w:instrText>
      </w:r>
      <w:r w:rsidR="00107EB7">
        <w:rPr>
          <w:noProof/>
        </w:rPr>
        <w:fldChar w:fldCharType="separate"/>
      </w:r>
      <w:r w:rsidR="00CB61A7">
        <w:rPr>
          <w:noProof/>
        </w:rPr>
        <w:t>6</w:t>
      </w:r>
      <w:r w:rsidR="00107EB7">
        <w:rPr>
          <w:noProof/>
        </w:rPr>
        <w:fldChar w:fldCharType="end"/>
      </w:r>
      <w:r>
        <w:t xml:space="preserve">: </w:t>
      </w:r>
      <w:r w:rsidR="00144DC4">
        <w:t xml:space="preserve">Sensitivity of net impact of </w:t>
      </w:r>
      <w:r w:rsidR="00056BD5" w:rsidRPr="00621E06">
        <w:t xml:space="preserve">GF blade </w:t>
      </w:r>
      <w:r w:rsidR="00144DC4">
        <w:t xml:space="preserve">as a function of the </w:t>
      </w:r>
      <w:r w:rsidR="00056BD5" w:rsidRPr="00621E06">
        <w:t>recyclate benefit.</w:t>
      </w:r>
      <w:r w:rsidR="005F3D6F">
        <w:t xml:space="preserve"> MAP=</w:t>
      </w:r>
      <w:r w:rsidR="005F3D6F" w:rsidRPr="005F3D6F">
        <w:t>Microwave Assisted Pyrolysis</w:t>
      </w:r>
      <w:r w:rsidR="005F3D6F">
        <w:t>, HVF=</w:t>
      </w:r>
      <w:r w:rsidR="005F3D6F" w:rsidRPr="005F3D6F">
        <w:t>High Voltage Fragmentation</w:t>
      </w:r>
      <w:r w:rsidR="005F3D6F">
        <w:t>, LE=life extension.</w:t>
      </w:r>
    </w:p>
    <w:p w14:paraId="6CE84F9A" w14:textId="77777777" w:rsidR="00056BD5" w:rsidRPr="002A6DBD" w:rsidRDefault="00056BD5" w:rsidP="00056BD5">
      <w:pPr>
        <w:tabs>
          <w:tab w:val="left" w:pos="851"/>
        </w:tabs>
        <w:spacing w:before="120" w:after="120"/>
        <w:rPr>
          <w:rFonts w:ascii="Helvetica" w:eastAsia="Times New Roman" w:hAnsi="Helvetica" w:cs="Times New Roman"/>
          <w:bCs/>
          <w:i/>
          <w:color w:val="44546A"/>
          <w:sz w:val="18"/>
          <w:szCs w:val="18"/>
          <w:lang w:eastAsia="en-GB"/>
        </w:rPr>
      </w:pPr>
    </w:p>
    <w:p w14:paraId="2742B5FE" w14:textId="1997D971" w:rsidR="00436312" w:rsidRDefault="00436312" w:rsidP="00436312">
      <w:pPr>
        <w:pStyle w:val="Caption"/>
        <w:keepNext/>
      </w:pPr>
      <w:bookmarkStart w:id="12" w:name="_Toc486170183"/>
    </w:p>
    <w:p w14:paraId="550EB381" w14:textId="05A9F61C" w:rsidR="00AB7248" w:rsidRPr="00AB7248" w:rsidRDefault="00AB7248" w:rsidP="00B209B7">
      <w:bookmarkStart w:id="13" w:name="_GoBack"/>
      <w:r>
        <w:rPr>
          <w:noProof/>
          <w:lang w:eastAsia="zh-CN"/>
        </w:rPr>
        <w:drawing>
          <wp:inline distT="0" distB="0" distL="0" distR="0" wp14:anchorId="64534093" wp14:editId="0522FDA3">
            <wp:extent cx="5727700" cy="360045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13"/>
    </w:p>
    <w:p w14:paraId="454C8C3E" w14:textId="77777777" w:rsidR="00056BD5" w:rsidRDefault="00436312" w:rsidP="00621E06">
      <w:pPr>
        <w:pStyle w:val="Caption"/>
      </w:pPr>
      <w:r>
        <w:t xml:space="preserve">Figure </w:t>
      </w:r>
      <w:r w:rsidR="00107EB7">
        <w:rPr>
          <w:noProof/>
        </w:rPr>
        <w:fldChar w:fldCharType="begin"/>
      </w:r>
      <w:r w:rsidR="00CC347B">
        <w:rPr>
          <w:noProof/>
        </w:rPr>
        <w:instrText xml:space="preserve"> SEQ Figure \* ARABIC </w:instrText>
      </w:r>
      <w:r w:rsidR="00107EB7">
        <w:rPr>
          <w:noProof/>
        </w:rPr>
        <w:fldChar w:fldCharType="separate"/>
      </w:r>
      <w:r w:rsidR="00CB61A7">
        <w:rPr>
          <w:noProof/>
        </w:rPr>
        <w:t>7</w:t>
      </w:r>
      <w:r w:rsidR="00107EB7">
        <w:rPr>
          <w:noProof/>
        </w:rPr>
        <w:fldChar w:fldCharType="end"/>
      </w:r>
      <w:r>
        <w:rPr>
          <w:rFonts w:hint="eastAsia"/>
          <w:lang w:eastAsia="zh-CN"/>
        </w:rPr>
        <w:t>:</w:t>
      </w:r>
      <w:r>
        <w:rPr>
          <w:lang w:eastAsia="zh-CN"/>
        </w:rPr>
        <w:t xml:space="preserve"> </w:t>
      </w:r>
      <w:r w:rsidR="00056BD5" w:rsidRPr="002A6DBD">
        <w:rPr>
          <w:lang w:eastAsia="en-GB"/>
        </w:rPr>
        <w:t xml:space="preserve">Sensitivity analysis for </w:t>
      </w:r>
      <w:r w:rsidR="00144DC4" w:rsidRPr="002A6DBD">
        <w:rPr>
          <w:lang w:eastAsia="en-GB"/>
        </w:rPr>
        <w:t>energy consumption</w:t>
      </w:r>
      <w:r w:rsidR="00144DC4">
        <w:rPr>
          <w:lang w:eastAsia="en-GB"/>
        </w:rPr>
        <w:t xml:space="preserve"> of</w:t>
      </w:r>
      <w:r w:rsidR="00144DC4" w:rsidRPr="002A6DBD">
        <w:rPr>
          <w:lang w:eastAsia="en-GB"/>
        </w:rPr>
        <w:t xml:space="preserve"> </w:t>
      </w:r>
      <w:r w:rsidR="00056BD5" w:rsidRPr="002A6DBD">
        <w:rPr>
          <w:rFonts w:hint="eastAsia"/>
          <w:lang w:eastAsia="en-GB"/>
        </w:rPr>
        <w:t>the</w:t>
      </w:r>
      <w:r w:rsidR="00056BD5" w:rsidRPr="002A6DBD">
        <w:rPr>
          <w:lang w:eastAsia="en-GB"/>
        </w:rPr>
        <w:t xml:space="preserve"> </w:t>
      </w:r>
      <w:proofErr w:type="spellStart"/>
      <w:r w:rsidR="00056BD5" w:rsidRPr="002A6DBD">
        <w:rPr>
          <w:lang w:eastAsia="en-GB"/>
        </w:rPr>
        <w:t>EoL</w:t>
      </w:r>
      <w:proofErr w:type="spellEnd"/>
      <w:r w:rsidR="00056BD5" w:rsidRPr="002A6DBD">
        <w:rPr>
          <w:lang w:eastAsia="en-GB"/>
        </w:rPr>
        <w:t xml:space="preserve"> options for hybrid blade.</w:t>
      </w:r>
      <w:bookmarkEnd w:id="12"/>
      <w:r w:rsidR="005F3D6F">
        <w:rPr>
          <w:lang w:eastAsia="en-GB"/>
        </w:rPr>
        <w:t xml:space="preserve"> </w:t>
      </w:r>
      <w:r w:rsidR="005F3D6F">
        <w:t>MAP=</w:t>
      </w:r>
      <w:r w:rsidR="005F3D6F" w:rsidRPr="005F3D6F">
        <w:t>Microwave Assisted Pyrolysis</w:t>
      </w:r>
      <w:r w:rsidR="005F3D6F">
        <w:t>, HVF=</w:t>
      </w:r>
      <w:r w:rsidR="005F3D6F" w:rsidRPr="005F3D6F">
        <w:t>High Voltage Fragmentation</w:t>
      </w:r>
      <w:r w:rsidR="005F3D6F">
        <w:t>, LE=life extension.</w:t>
      </w:r>
    </w:p>
    <w:p w14:paraId="24ACFE7E" w14:textId="5D318C1F" w:rsidR="00436312" w:rsidRDefault="00436312" w:rsidP="00436312">
      <w:pPr>
        <w:keepNext/>
      </w:pPr>
    </w:p>
    <w:p w14:paraId="102B9145" w14:textId="0039D6A5" w:rsidR="00AB7248" w:rsidRDefault="00AB7248" w:rsidP="00436312">
      <w:pPr>
        <w:keepNext/>
      </w:pPr>
      <w:r>
        <w:rPr>
          <w:noProof/>
          <w:lang w:eastAsia="zh-CN"/>
        </w:rPr>
        <w:drawing>
          <wp:inline distT="0" distB="0" distL="0" distR="0" wp14:anchorId="45EC3130" wp14:editId="5B0B27B1">
            <wp:extent cx="5727700" cy="4105275"/>
            <wp:effectExtent l="0" t="0" r="63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ABE4B1" w14:textId="6BA1936C" w:rsidR="00056BD5" w:rsidRPr="00436312" w:rsidRDefault="00436312" w:rsidP="00436312">
      <w:pPr>
        <w:pStyle w:val="Caption"/>
        <w:rPr>
          <w:rFonts w:ascii="Helvetica" w:eastAsia="Times New Roman" w:hAnsi="Helvetica" w:cs="Times New Roman"/>
          <w:sz w:val="22"/>
          <w:lang w:eastAsia="en-GB"/>
        </w:rPr>
      </w:pPr>
      <w:r>
        <w:t xml:space="preserve">Figure </w:t>
      </w:r>
      <w:r w:rsidR="00107EB7">
        <w:rPr>
          <w:noProof/>
        </w:rPr>
        <w:fldChar w:fldCharType="begin"/>
      </w:r>
      <w:r w:rsidR="00CC347B">
        <w:rPr>
          <w:noProof/>
        </w:rPr>
        <w:instrText xml:space="preserve"> SEQ Figure \* ARABIC </w:instrText>
      </w:r>
      <w:r w:rsidR="00107EB7">
        <w:rPr>
          <w:noProof/>
        </w:rPr>
        <w:fldChar w:fldCharType="separate"/>
      </w:r>
      <w:r w:rsidR="00CB61A7">
        <w:rPr>
          <w:noProof/>
        </w:rPr>
        <w:t>8</w:t>
      </w:r>
      <w:r w:rsidR="00107EB7">
        <w:rPr>
          <w:noProof/>
        </w:rPr>
        <w:fldChar w:fldCharType="end"/>
      </w:r>
      <w:r>
        <w:t>:</w:t>
      </w:r>
      <w:r w:rsidR="00056BD5" w:rsidRPr="00457CC1">
        <w:t xml:space="preserve"> </w:t>
      </w:r>
      <w:r w:rsidR="00144DC4">
        <w:t xml:space="preserve">Sensitivity of net impact of </w:t>
      </w:r>
      <w:r w:rsidR="00BB5D58">
        <w:t>h</w:t>
      </w:r>
      <w:r w:rsidR="00056BD5">
        <w:t xml:space="preserve">ybrid blade </w:t>
      </w:r>
      <w:r w:rsidR="00144DC4">
        <w:t xml:space="preserve">as a function of the </w:t>
      </w:r>
      <w:r w:rsidR="00056BD5">
        <w:t>recyclate benefit.</w:t>
      </w:r>
      <w:bookmarkStart w:id="14" w:name="_Toc486170186"/>
      <w:r w:rsidR="005F3D6F">
        <w:t xml:space="preserve"> MAP=</w:t>
      </w:r>
      <w:r w:rsidR="005F3D6F" w:rsidRPr="005F3D6F">
        <w:t>Microwave Assisted Pyrolysis</w:t>
      </w:r>
      <w:r w:rsidR="005F3D6F">
        <w:t>, HVF=</w:t>
      </w:r>
      <w:r w:rsidR="005F3D6F" w:rsidRPr="005F3D6F">
        <w:t>High Voltage Fragmentation</w:t>
      </w:r>
      <w:r w:rsidR="005F3D6F">
        <w:t>, LE=life extension.</w:t>
      </w:r>
    </w:p>
    <w:bookmarkEnd w:id="14"/>
    <w:p w14:paraId="2C7127A1" w14:textId="77777777" w:rsidR="00056BD5" w:rsidRPr="00203D5A" w:rsidRDefault="00056BD5" w:rsidP="00056BD5">
      <w:pPr>
        <w:tabs>
          <w:tab w:val="left" w:pos="851"/>
        </w:tabs>
        <w:spacing w:before="120" w:line="360" w:lineRule="auto"/>
        <w:rPr>
          <w:rFonts w:ascii="Helvetica" w:eastAsia="SimSun" w:hAnsi="Helvetica" w:cs="Times New Roman"/>
          <w:sz w:val="22"/>
        </w:rPr>
      </w:pPr>
    </w:p>
    <w:p w14:paraId="0C0A105A" w14:textId="1FEC4177" w:rsidR="00436312" w:rsidRDefault="00436312" w:rsidP="00436312">
      <w:pPr>
        <w:pStyle w:val="Caption"/>
        <w:keepNext/>
      </w:pPr>
      <w:bookmarkStart w:id="15" w:name="_Toc486170184"/>
    </w:p>
    <w:p w14:paraId="2A7EE28F" w14:textId="7B374DF9" w:rsidR="00AB7248" w:rsidRPr="00AB7248" w:rsidRDefault="00AB7248" w:rsidP="00AB7248">
      <w:r>
        <w:rPr>
          <w:noProof/>
          <w:lang w:eastAsia="zh-CN"/>
        </w:rPr>
        <w:drawing>
          <wp:inline distT="0" distB="0" distL="0" distR="0" wp14:anchorId="13B73236" wp14:editId="65B9669A">
            <wp:extent cx="5727700" cy="3743325"/>
            <wp:effectExtent l="0" t="0" r="63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21FD65" w14:textId="77777777" w:rsidR="00056BD5" w:rsidRPr="002A6DBD" w:rsidRDefault="00436312" w:rsidP="00621E06">
      <w:pPr>
        <w:pStyle w:val="Caption"/>
      </w:pPr>
      <w:r>
        <w:t xml:space="preserve">Figure </w:t>
      </w:r>
      <w:r w:rsidR="00107EB7">
        <w:rPr>
          <w:noProof/>
        </w:rPr>
        <w:fldChar w:fldCharType="begin"/>
      </w:r>
      <w:r w:rsidR="00CC347B">
        <w:rPr>
          <w:noProof/>
        </w:rPr>
        <w:instrText xml:space="preserve"> SEQ Figure \* ARABIC </w:instrText>
      </w:r>
      <w:r w:rsidR="00107EB7">
        <w:rPr>
          <w:noProof/>
        </w:rPr>
        <w:fldChar w:fldCharType="separate"/>
      </w:r>
      <w:r w:rsidR="00CB61A7">
        <w:rPr>
          <w:noProof/>
        </w:rPr>
        <w:t>9</w:t>
      </w:r>
      <w:r w:rsidR="00107EB7">
        <w:rPr>
          <w:noProof/>
        </w:rPr>
        <w:fldChar w:fldCharType="end"/>
      </w:r>
      <w:r w:rsidR="00056BD5" w:rsidRPr="002A6DBD">
        <w:rPr>
          <w:lang w:eastAsia="en-GB"/>
        </w:rPr>
        <w:t xml:space="preserve">: Sensitivity analysis for </w:t>
      </w:r>
      <w:r w:rsidR="00144DC4" w:rsidRPr="002A6DBD">
        <w:rPr>
          <w:lang w:eastAsia="en-GB"/>
        </w:rPr>
        <w:t>energy consumption</w:t>
      </w:r>
      <w:r w:rsidR="00144DC4">
        <w:rPr>
          <w:lang w:eastAsia="en-GB"/>
        </w:rPr>
        <w:t xml:space="preserve"> of</w:t>
      </w:r>
      <w:r w:rsidR="00144DC4" w:rsidRPr="002A6DBD">
        <w:rPr>
          <w:lang w:eastAsia="en-GB"/>
        </w:rPr>
        <w:t xml:space="preserve"> </w:t>
      </w:r>
      <w:r w:rsidR="00056BD5" w:rsidRPr="002A6DBD">
        <w:rPr>
          <w:rFonts w:hint="eastAsia"/>
          <w:lang w:eastAsia="en-GB"/>
        </w:rPr>
        <w:t>the</w:t>
      </w:r>
      <w:r w:rsidR="00056BD5" w:rsidRPr="002A6DBD">
        <w:rPr>
          <w:lang w:eastAsia="en-GB"/>
        </w:rPr>
        <w:t xml:space="preserve"> </w:t>
      </w:r>
      <w:proofErr w:type="spellStart"/>
      <w:r w:rsidR="00056BD5" w:rsidRPr="002A6DBD">
        <w:rPr>
          <w:lang w:eastAsia="en-GB"/>
        </w:rPr>
        <w:t>EoL</w:t>
      </w:r>
      <w:proofErr w:type="spellEnd"/>
      <w:r w:rsidR="00056BD5" w:rsidRPr="002A6DBD">
        <w:rPr>
          <w:lang w:eastAsia="en-GB"/>
        </w:rPr>
        <w:t xml:space="preserve"> options </w:t>
      </w:r>
      <w:r w:rsidR="00056BD5">
        <w:rPr>
          <w:lang w:eastAsia="en-GB"/>
        </w:rPr>
        <w:t xml:space="preserve">for </w:t>
      </w:r>
      <w:r w:rsidR="00056BD5" w:rsidRPr="002A6DBD">
        <w:rPr>
          <w:lang w:eastAsia="en-GB"/>
        </w:rPr>
        <w:t>carbon fibre blade.</w:t>
      </w:r>
      <w:bookmarkEnd w:id="15"/>
      <w:r w:rsidR="005F3D6F" w:rsidRPr="005F3D6F">
        <w:t xml:space="preserve"> </w:t>
      </w:r>
      <w:r w:rsidR="005F3D6F">
        <w:t>MAP=</w:t>
      </w:r>
      <w:r w:rsidR="005F3D6F" w:rsidRPr="005F3D6F">
        <w:t>Microwave Assisted Pyrolysis</w:t>
      </w:r>
      <w:r w:rsidR="005F3D6F">
        <w:t>, HVF=</w:t>
      </w:r>
      <w:r w:rsidR="005F3D6F" w:rsidRPr="005F3D6F">
        <w:t>High Voltage Fragmentation</w:t>
      </w:r>
      <w:r w:rsidR="005F3D6F">
        <w:t>, LE=life extension.</w:t>
      </w:r>
    </w:p>
    <w:p w14:paraId="28030E71" w14:textId="77777777" w:rsidR="00056BD5" w:rsidRDefault="00056BD5" w:rsidP="00056BD5">
      <w:pPr>
        <w:keepNext/>
        <w:tabs>
          <w:tab w:val="left" w:pos="851"/>
        </w:tabs>
        <w:spacing w:before="120" w:line="360" w:lineRule="auto"/>
      </w:pPr>
    </w:p>
    <w:p w14:paraId="184DDD8B" w14:textId="4A7118EB" w:rsidR="00436312" w:rsidRDefault="00436312" w:rsidP="00436312">
      <w:pPr>
        <w:keepNext/>
        <w:tabs>
          <w:tab w:val="left" w:pos="851"/>
        </w:tabs>
        <w:spacing w:before="120" w:line="360" w:lineRule="auto"/>
      </w:pPr>
    </w:p>
    <w:p w14:paraId="6C290B91" w14:textId="736B0D1C" w:rsidR="00AB7248" w:rsidRDefault="00AB7248" w:rsidP="00436312">
      <w:pPr>
        <w:keepNext/>
        <w:tabs>
          <w:tab w:val="left" w:pos="851"/>
        </w:tabs>
        <w:spacing w:before="120" w:line="360" w:lineRule="auto"/>
      </w:pPr>
      <w:r>
        <w:rPr>
          <w:noProof/>
          <w:lang w:eastAsia="zh-CN"/>
        </w:rPr>
        <w:drawing>
          <wp:inline distT="0" distB="0" distL="0" distR="0" wp14:anchorId="6CE2E082" wp14:editId="3D2BE908">
            <wp:extent cx="5727700" cy="3810000"/>
            <wp:effectExtent l="0" t="0" r="63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38E4D3" w14:textId="77777777" w:rsidR="0066488C" w:rsidRPr="00436312" w:rsidRDefault="00436312" w:rsidP="00436312">
      <w:pPr>
        <w:pStyle w:val="Caption"/>
      </w:pPr>
      <w:r>
        <w:t xml:space="preserve">Figure </w:t>
      </w:r>
      <w:r w:rsidR="00107EB7">
        <w:rPr>
          <w:noProof/>
        </w:rPr>
        <w:fldChar w:fldCharType="begin"/>
      </w:r>
      <w:r w:rsidR="00CC347B">
        <w:rPr>
          <w:noProof/>
        </w:rPr>
        <w:instrText xml:space="preserve"> SEQ Figure \* ARABIC </w:instrText>
      </w:r>
      <w:r w:rsidR="00107EB7">
        <w:rPr>
          <w:noProof/>
        </w:rPr>
        <w:fldChar w:fldCharType="separate"/>
      </w:r>
      <w:r w:rsidR="00CB61A7">
        <w:rPr>
          <w:noProof/>
        </w:rPr>
        <w:t>10</w:t>
      </w:r>
      <w:r w:rsidR="00107EB7">
        <w:rPr>
          <w:noProof/>
        </w:rPr>
        <w:fldChar w:fldCharType="end"/>
      </w:r>
      <w:r w:rsidR="00056BD5">
        <w:t>:</w:t>
      </w:r>
      <w:r w:rsidR="00056BD5" w:rsidRPr="00457CC1">
        <w:t xml:space="preserve"> </w:t>
      </w:r>
      <w:r w:rsidR="00144DC4">
        <w:t xml:space="preserve">Sensitivity of net impact of </w:t>
      </w:r>
      <w:r w:rsidR="00056BD5">
        <w:t xml:space="preserve">CF blade </w:t>
      </w:r>
      <w:r w:rsidR="00144DC4">
        <w:t xml:space="preserve">as a function of </w:t>
      </w:r>
      <w:r w:rsidR="00056BD5">
        <w:t>recyclate benefit.</w:t>
      </w:r>
      <w:r w:rsidR="005F3D6F" w:rsidRPr="005F3D6F">
        <w:t xml:space="preserve"> </w:t>
      </w:r>
      <w:r w:rsidR="005F3D6F">
        <w:t>MAP=</w:t>
      </w:r>
      <w:r w:rsidR="005F3D6F" w:rsidRPr="005F3D6F">
        <w:t>Microwave Assisted Pyrolysis</w:t>
      </w:r>
      <w:r w:rsidR="005F3D6F">
        <w:t>, HVF=</w:t>
      </w:r>
      <w:r w:rsidR="005F3D6F" w:rsidRPr="005F3D6F">
        <w:t>High Voltage Fragmentation</w:t>
      </w:r>
      <w:r w:rsidR="005F3D6F">
        <w:t>, LE=life extension.</w:t>
      </w:r>
    </w:p>
    <w:p w14:paraId="67AF6FDB" w14:textId="01D0DB9A" w:rsidR="00C85568" w:rsidRDefault="001E601A" w:rsidP="00B44120">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The r</w:t>
      </w:r>
      <w:r w:rsidR="004C0039">
        <w:rPr>
          <w:rFonts w:ascii="Helvetica" w:eastAsia="Times New Roman" w:hAnsi="Helvetica" w:cs="Times New Roman"/>
          <w:sz w:val="22"/>
          <w:lang w:eastAsia="en-GB"/>
        </w:rPr>
        <w:t xml:space="preserve">esults reveal that </w:t>
      </w:r>
      <w:r w:rsidR="00200C4B">
        <w:rPr>
          <w:rFonts w:ascii="Helvetica" w:eastAsia="Times New Roman" w:hAnsi="Helvetica" w:cs="Times New Roman"/>
          <w:color w:val="000000" w:themeColor="text1"/>
          <w:sz w:val="22"/>
          <w:lang w:eastAsia="en-GB"/>
        </w:rPr>
        <w:t>v</w:t>
      </w:r>
      <w:r w:rsidR="004C0039" w:rsidRPr="00920765">
        <w:rPr>
          <w:rFonts w:ascii="Helvetica" w:eastAsia="Times New Roman" w:hAnsi="Helvetica" w:cs="Times New Roman"/>
          <w:color w:val="000000" w:themeColor="text1"/>
          <w:sz w:val="22"/>
          <w:lang w:eastAsia="en-GB"/>
        </w:rPr>
        <w:t xml:space="preserve">ariations in the </w:t>
      </w:r>
      <w:proofErr w:type="spellStart"/>
      <w:r w:rsidR="00704B7F">
        <w:rPr>
          <w:rFonts w:ascii="Helvetica" w:eastAsia="Times New Roman" w:hAnsi="Helvetica" w:cs="Times New Roman"/>
          <w:color w:val="000000" w:themeColor="text1"/>
          <w:sz w:val="22"/>
          <w:lang w:eastAsia="en-GB"/>
        </w:rPr>
        <w:t>EoL</w:t>
      </w:r>
      <w:proofErr w:type="spellEnd"/>
      <w:r w:rsidR="00704B7F">
        <w:rPr>
          <w:rFonts w:ascii="Helvetica" w:eastAsia="Times New Roman" w:hAnsi="Helvetica" w:cs="Times New Roman"/>
          <w:color w:val="000000" w:themeColor="text1"/>
          <w:sz w:val="22"/>
          <w:lang w:eastAsia="en-GB"/>
        </w:rPr>
        <w:t xml:space="preserve"> </w:t>
      </w:r>
      <w:r w:rsidR="004C0039" w:rsidRPr="00920765">
        <w:rPr>
          <w:rFonts w:ascii="Helvetica" w:eastAsia="Times New Roman" w:hAnsi="Helvetica" w:cs="Times New Roman"/>
          <w:color w:val="000000" w:themeColor="text1"/>
          <w:sz w:val="22"/>
          <w:lang w:eastAsia="en-GB"/>
        </w:rPr>
        <w:t xml:space="preserve">processing energy make more of a difference to the viability of recycling the GF blade </w:t>
      </w:r>
      <w:r w:rsidR="00436312">
        <w:rPr>
          <w:rFonts w:ascii="Helvetica" w:eastAsia="Times New Roman" w:hAnsi="Helvetica" w:cs="Times New Roman"/>
          <w:color w:val="000000" w:themeColor="text1"/>
          <w:sz w:val="22"/>
          <w:lang w:eastAsia="en-GB"/>
        </w:rPr>
        <w:t>(F</w:t>
      </w:r>
      <w:r w:rsidR="009305BB">
        <w:rPr>
          <w:rFonts w:ascii="Helvetica" w:eastAsia="Times New Roman" w:hAnsi="Helvetica" w:cs="Times New Roman"/>
          <w:color w:val="000000" w:themeColor="text1"/>
          <w:sz w:val="22"/>
          <w:lang w:eastAsia="en-GB"/>
        </w:rPr>
        <w:t xml:space="preserve">igure </w:t>
      </w:r>
      <w:r w:rsidR="00436312">
        <w:rPr>
          <w:rFonts w:ascii="Helvetica" w:eastAsia="Times New Roman" w:hAnsi="Helvetica" w:cs="Times New Roman"/>
          <w:color w:val="000000" w:themeColor="text1"/>
          <w:sz w:val="22"/>
          <w:lang w:eastAsia="en-GB"/>
        </w:rPr>
        <w:t>5</w:t>
      </w:r>
      <w:r w:rsidR="009305BB">
        <w:rPr>
          <w:rFonts w:ascii="Helvetica" w:eastAsia="Times New Roman" w:hAnsi="Helvetica" w:cs="Times New Roman"/>
          <w:color w:val="000000" w:themeColor="text1"/>
          <w:sz w:val="22"/>
          <w:lang w:eastAsia="en-GB"/>
        </w:rPr>
        <w:t xml:space="preserve">) </w:t>
      </w:r>
      <w:r w:rsidR="004C0039" w:rsidRPr="00920765">
        <w:rPr>
          <w:rFonts w:ascii="Helvetica" w:eastAsia="Times New Roman" w:hAnsi="Helvetica" w:cs="Times New Roman"/>
          <w:color w:val="000000" w:themeColor="text1"/>
          <w:sz w:val="22"/>
          <w:lang w:eastAsia="en-GB"/>
        </w:rPr>
        <w:t>compared to other blade types</w:t>
      </w:r>
      <w:r w:rsidR="00436312">
        <w:rPr>
          <w:rFonts w:ascii="Helvetica" w:eastAsia="Times New Roman" w:hAnsi="Helvetica" w:cs="Times New Roman"/>
          <w:color w:val="000000" w:themeColor="text1"/>
          <w:sz w:val="22"/>
          <w:lang w:eastAsia="en-GB"/>
        </w:rPr>
        <w:t xml:space="preserve"> (Figures 7 and 9</w:t>
      </w:r>
      <w:r w:rsidR="009305BB">
        <w:rPr>
          <w:rFonts w:ascii="Helvetica" w:eastAsia="Times New Roman" w:hAnsi="Helvetica" w:cs="Times New Roman"/>
          <w:color w:val="000000" w:themeColor="text1"/>
          <w:sz w:val="22"/>
          <w:lang w:eastAsia="en-GB"/>
        </w:rPr>
        <w:t>)</w:t>
      </w:r>
      <w:r w:rsidR="009662B9">
        <w:rPr>
          <w:rFonts w:ascii="Helvetica" w:eastAsia="Times New Roman" w:hAnsi="Helvetica" w:cs="Times New Roman"/>
          <w:color w:val="000000" w:themeColor="text1"/>
          <w:sz w:val="22"/>
          <w:lang w:eastAsia="en-GB"/>
        </w:rPr>
        <w:t>.</w:t>
      </w:r>
      <w:r w:rsidR="009305BB">
        <w:rPr>
          <w:rFonts w:ascii="Helvetica" w:eastAsia="Times New Roman" w:hAnsi="Helvetica" w:cs="Times New Roman"/>
          <w:color w:val="000000" w:themeColor="text1"/>
          <w:sz w:val="22"/>
          <w:lang w:eastAsia="en-GB"/>
        </w:rPr>
        <w:t xml:space="preserve"> </w:t>
      </w:r>
      <w:r w:rsidR="009662B9">
        <w:rPr>
          <w:rFonts w:ascii="Helvetica" w:eastAsia="Times New Roman" w:hAnsi="Helvetica" w:cs="Times New Roman"/>
          <w:sz w:val="22"/>
          <w:lang w:eastAsia="en-GB"/>
        </w:rPr>
        <w:t>T</w:t>
      </w:r>
      <w:r w:rsidR="00B44120" w:rsidRPr="00B44120">
        <w:rPr>
          <w:rFonts w:ascii="Helvetica" w:eastAsia="Times New Roman" w:hAnsi="Helvetica" w:cs="Times New Roman"/>
          <w:sz w:val="22"/>
          <w:lang w:eastAsia="en-GB"/>
        </w:rPr>
        <w:t xml:space="preserve">he high energy </w:t>
      </w:r>
      <w:r w:rsidR="009662B9">
        <w:rPr>
          <w:rFonts w:ascii="Helvetica" w:eastAsia="Times New Roman" w:hAnsi="Helvetica" w:cs="Times New Roman"/>
          <w:sz w:val="22"/>
          <w:lang w:eastAsia="en-GB"/>
        </w:rPr>
        <w:t xml:space="preserve">processes </w:t>
      </w:r>
      <w:r w:rsidR="00B44120" w:rsidRPr="00B44120">
        <w:rPr>
          <w:rFonts w:ascii="Helvetica" w:eastAsia="Times New Roman" w:hAnsi="Helvetica" w:cs="Times New Roman"/>
          <w:sz w:val="22"/>
          <w:lang w:eastAsia="en-GB"/>
        </w:rPr>
        <w:t xml:space="preserve">(fluidised-bed and pyrolysis) </w:t>
      </w:r>
      <w:r w:rsidR="000F7870">
        <w:rPr>
          <w:rFonts w:ascii="Helvetica" w:eastAsia="Times New Roman" w:hAnsi="Helvetica" w:cs="Times New Roman"/>
          <w:sz w:val="22"/>
          <w:lang w:eastAsia="en-GB"/>
        </w:rPr>
        <w:t xml:space="preserve">are high environmental impact because they </w:t>
      </w:r>
      <w:r w:rsidR="009662B9">
        <w:rPr>
          <w:rFonts w:ascii="Helvetica" w:eastAsia="Times New Roman" w:hAnsi="Helvetica" w:cs="Times New Roman"/>
          <w:sz w:val="22"/>
          <w:lang w:eastAsia="en-GB"/>
        </w:rPr>
        <w:t xml:space="preserve">always </w:t>
      </w:r>
      <w:r w:rsidR="000F7870">
        <w:rPr>
          <w:rFonts w:ascii="Helvetica" w:eastAsia="Times New Roman" w:hAnsi="Helvetica" w:cs="Times New Roman"/>
          <w:sz w:val="22"/>
          <w:lang w:eastAsia="en-GB"/>
        </w:rPr>
        <w:t xml:space="preserve">require </w:t>
      </w:r>
      <w:r w:rsidR="00D50313">
        <w:rPr>
          <w:rFonts w:ascii="Helvetica" w:eastAsia="Times New Roman" w:hAnsi="Helvetica" w:cs="Times New Roman"/>
          <w:sz w:val="22"/>
          <w:lang w:eastAsia="en-GB"/>
        </w:rPr>
        <w:t xml:space="preserve">high </w:t>
      </w:r>
      <w:r w:rsidR="000F7870">
        <w:rPr>
          <w:rFonts w:ascii="Helvetica" w:eastAsia="Times New Roman" w:hAnsi="Helvetica" w:cs="Times New Roman"/>
          <w:sz w:val="22"/>
          <w:lang w:eastAsia="en-GB"/>
        </w:rPr>
        <w:t>energy input</w:t>
      </w:r>
      <w:r w:rsidR="009662B9">
        <w:rPr>
          <w:rFonts w:ascii="Helvetica" w:eastAsia="Times New Roman" w:hAnsi="Helvetica" w:cs="Times New Roman"/>
          <w:sz w:val="22"/>
          <w:lang w:eastAsia="en-GB"/>
        </w:rPr>
        <w:t>;</w:t>
      </w:r>
      <w:r w:rsidR="009662B9" w:rsidRPr="00B44120">
        <w:rPr>
          <w:rFonts w:ascii="Helvetica" w:eastAsia="Times New Roman" w:hAnsi="Helvetica" w:cs="Times New Roman"/>
          <w:sz w:val="22"/>
          <w:lang w:eastAsia="en-GB"/>
        </w:rPr>
        <w:t xml:space="preserve"> </w:t>
      </w:r>
      <w:r w:rsidR="00B44120" w:rsidRPr="00B44120">
        <w:rPr>
          <w:rFonts w:ascii="Helvetica" w:eastAsia="Times New Roman" w:hAnsi="Helvetica" w:cs="Times New Roman"/>
          <w:sz w:val="22"/>
          <w:lang w:eastAsia="en-GB"/>
        </w:rPr>
        <w:t xml:space="preserve">low processing energy technologies (mechanical recycling and incineration) </w:t>
      </w:r>
      <w:r w:rsidR="000F7870">
        <w:rPr>
          <w:rFonts w:ascii="Helvetica" w:eastAsia="Times New Roman" w:hAnsi="Helvetica" w:cs="Times New Roman"/>
          <w:sz w:val="22"/>
          <w:lang w:eastAsia="en-GB"/>
        </w:rPr>
        <w:t>are always favourable</w:t>
      </w:r>
      <w:r w:rsidR="00B44120" w:rsidRPr="00B44120">
        <w:rPr>
          <w:rFonts w:ascii="Helvetica" w:eastAsia="Times New Roman" w:hAnsi="Helvetica" w:cs="Times New Roman"/>
          <w:sz w:val="22"/>
          <w:lang w:eastAsia="en-GB"/>
        </w:rPr>
        <w:t xml:space="preserve">. Only chemical recycling and HVF are affected significantly </w:t>
      </w:r>
      <w:r w:rsidR="000F7870">
        <w:rPr>
          <w:rFonts w:ascii="Helvetica" w:eastAsia="Times New Roman" w:hAnsi="Helvetica" w:cs="Times New Roman"/>
          <w:sz w:val="22"/>
          <w:lang w:eastAsia="en-GB"/>
        </w:rPr>
        <w:t xml:space="preserve">by variation </w:t>
      </w:r>
      <w:r w:rsidR="00C85568">
        <w:rPr>
          <w:rFonts w:ascii="Helvetica" w:eastAsia="Times New Roman" w:hAnsi="Helvetica" w:cs="Times New Roman"/>
          <w:sz w:val="22"/>
          <w:lang w:eastAsia="en-GB"/>
        </w:rPr>
        <w:t>in process energy to the extent that they</w:t>
      </w:r>
      <w:r w:rsidR="00C85568" w:rsidRPr="00B44120">
        <w:rPr>
          <w:rFonts w:ascii="Helvetica" w:eastAsia="Times New Roman" w:hAnsi="Helvetica" w:cs="Times New Roman"/>
          <w:sz w:val="22"/>
          <w:lang w:eastAsia="en-GB"/>
        </w:rPr>
        <w:t xml:space="preserve"> </w:t>
      </w:r>
      <w:r w:rsidR="00D45E4A">
        <w:rPr>
          <w:rFonts w:ascii="Helvetica" w:eastAsia="Times New Roman" w:hAnsi="Helvetica" w:cs="Times New Roman"/>
          <w:sz w:val="22"/>
          <w:lang w:eastAsia="en-GB"/>
        </w:rPr>
        <w:t xml:space="preserve">can </w:t>
      </w:r>
      <w:r w:rsidR="00B44120" w:rsidRPr="00B44120">
        <w:rPr>
          <w:rFonts w:ascii="Helvetica" w:eastAsia="Times New Roman" w:hAnsi="Helvetica" w:cs="Times New Roman"/>
          <w:sz w:val="22"/>
          <w:lang w:eastAsia="en-GB"/>
        </w:rPr>
        <w:t>cross the breakeven point</w:t>
      </w:r>
      <w:r w:rsidR="00C85568">
        <w:rPr>
          <w:rFonts w:ascii="Helvetica" w:eastAsia="Times New Roman" w:hAnsi="Helvetica" w:cs="Times New Roman"/>
          <w:sz w:val="22"/>
          <w:lang w:eastAsia="en-GB"/>
        </w:rPr>
        <w:t>. This</w:t>
      </w:r>
      <w:r w:rsidR="00D50313">
        <w:rPr>
          <w:rFonts w:ascii="Helvetica" w:eastAsia="Times New Roman" w:hAnsi="Helvetica" w:cs="Times New Roman"/>
          <w:sz w:val="22"/>
          <w:lang w:eastAsia="en-GB"/>
        </w:rPr>
        <w:t xml:space="preserve"> reveals that data </w:t>
      </w:r>
      <w:r w:rsidR="00C85568">
        <w:rPr>
          <w:rFonts w:ascii="Helvetica" w:eastAsia="Times New Roman" w:hAnsi="Helvetica" w:cs="Times New Roman"/>
          <w:sz w:val="22"/>
          <w:lang w:eastAsia="en-GB"/>
        </w:rPr>
        <w:t>for</w:t>
      </w:r>
      <w:r w:rsidR="00D50313">
        <w:rPr>
          <w:rFonts w:ascii="Helvetica" w:eastAsia="Times New Roman" w:hAnsi="Helvetica" w:cs="Times New Roman"/>
          <w:sz w:val="22"/>
          <w:lang w:eastAsia="en-GB"/>
        </w:rPr>
        <w:t xml:space="preserve"> processing energy and recyclate benefit for </w:t>
      </w:r>
      <w:r w:rsidR="008649DF">
        <w:rPr>
          <w:rFonts w:ascii="Helvetica" w:eastAsia="Times New Roman" w:hAnsi="Helvetica" w:cs="Times New Roman"/>
          <w:sz w:val="22"/>
          <w:lang w:eastAsia="en-GB"/>
        </w:rPr>
        <w:t>these two technologies</w:t>
      </w:r>
      <w:r w:rsidR="00D50313">
        <w:rPr>
          <w:rFonts w:ascii="Helvetica" w:eastAsia="Times New Roman" w:hAnsi="Helvetica" w:cs="Times New Roman"/>
          <w:sz w:val="22"/>
          <w:lang w:eastAsia="en-GB"/>
        </w:rPr>
        <w:t xml:space="preserve"> </w:t>
      </w:r>
      <w:r w:rsidR="00C85568">
        <w:rPr>
          <w:rFonts w:ascii="Helvetica" w:eastAsia="Times New Roman" w:hAnsi="Helvetica" w:cs="Times New Roman"/>
          <w:sz w:val="22"/>
          <w:lang w:eastAsia="en-GB"/>
        </w:rPr>
        <w:t>would benefit from further investigation.</w:t>
      </w:r>
      <w:r w:rsidR="008649DF">
        <w:rPr>
          <w:rFonts w:ascii="Helvetica" w:eastAsia="Times New Roman" w:hAnsi="Helvetica" w:cs="Times New Roman"/>
          <w:sz w:val="22"/>
          <w:lang w:eastAsia="en-GB"/>
        </w:rPr>
        <w:t xml:space="preserve"> </w:t>
      </w:r>
    </w:p>
    <w:p w14:paraId="5063127A" w14:textId="77777777" w:rsidR="004C0039" w:rsidRDefault="00B44120" w:rsidP="00B44120">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t xml:space="preserve">For the CF blade, the variation of recyclate </w:t>
      </w:r>
      <w:r w:rsidR="000F7870">
        <w:rPr>
          <w:rFonts w:ascii="Helvetica" w:eastAsia="Times New Roman" w:hAnsi="Helvetica" w:cs="Times New Roman"/>
          <w:sz w:val="22"/>
          <w:lang w:eastAsia="en-GB"/>
        </w:rPr>
        <w:t>benefit</w:t>
      </w:r>
      <w:r w:rsidR="000F7870"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has an insignificant effect on whether it is worth recycling or not</w:t>
      </w:r>
      <w:r w:rsidR="000F7870">
        <w:rPr>
          <w:rFonts w:ascii="Helvetica" w:eastAsia="Times New Roman" w:hAnsi="Helvetica" w:cs="Times New Roman"/>
          <w:sz w:val="22"/>
          <w:lang w:eastAsia="en-GB"/>
        </w:rPr>
        <w:t>, in terms of energy</w:t>
      </w:r>
      <w:r w:rsidRPr="00B44120">
        <w:rPr>
          <w:rFonts w:ascii="Helvetica" w:eastAsia="Times New Roman" w:hAnsi="Helvetica" w:cs="Times New Roman"/>
          <w:sz w:val="22"/>
          <w:lang w:eastAsia="en-GB"/>
        </w:rPr>
        <w:t xml:space="preserve">. This is because the recycling potential of the CF blade is high and the recycling processing energy consumption is minor in comparison, so even if the recyclate </w:t>
      </w:r>
      <w:r w:rsidR="000F7870">
        <w:rPr>
          <w:rFonts w:ascii="Helvetica" w:eastAsia="Times New Roman" w:hAnsi="Helvetica" w:cs="Times New Roman"/>
          <w:sz w:val="22"/>
          <w:lang w:eastAsia="en-GB"/>
        </w:rPr>
        <w:t>benefit</w:t>
      </w:r>
      <w:r w:rsidR="000F7870"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is considerably reduced, the net impact is still lower than that of landfill. The hybrid blade unsurprisingly sits in the middle and the breakeven point is more sensitive than </w:t>
      </w:r>
      <w:r w:rsidRPr="00B44120">
        <w:rPr>
          <w:rFonts w:ascii="Helvetica" w:eastAsia="Times New Roman" w:hAnsi="Helvetica" w:cs="Times New Roman" w:hint="eastAsia"/>
          <w:sz w:val="22"/>
          <w:lang w:eastAsia="en-GB"/>
        </w:rPr>
        <w:t>t</w:t>
      </w:r>
      <w:r w:rsidRPr="00B44120">
        <w:rPr>
          <w:rFonts w:ascii="Helvetica" w:eastAsia="Times New Roman" w:hAnsi="Helvetica" w:cs="Times New Roman"/>
          <w:sz w:val="22"/>
          <w:lang w:eastAsia="en-GB"/>
        </w:rPr>
        <w:t xml:space="preserve">he other two blades to recyclate </w:t>
      </w:r>
      <w:r w:rsidR="000F7870">
        <w:rPr>
          <w:rFonts w:ascii="Helvetica" w:eastAsia="Times New Roman" w:hAnsi="Helvetica" w:cs="Times New Roman"/>
          <w:sz w:val="22"/>
          <w:lang w:eastAsia="en-GB"/>
        </w:rPr>
        <w:t>benefit</w:t>
      </w:r>
      <w:r w:rsidR="000F7870"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variation. </w:t>
      </w:r>
      <w:r w:rsidR="00387C70">
        <w:rPr>
          <w:rFonts w:ascii="Helvetica" w:eastAsia="Times New Roman" w:hAnsi="Helvetica" w:cs="Times New Roman"/>
          <w:sz w:val="22"/>
          <w:lang w:eastAsia="en-GB"/>
        </w:rPr>
        <w:t>R</w:t>
      </w:r>
      <w:r w:rsidRPr="00B44120">
        <w:rPr>
          <w:rFonts w:ascii="Helvetica" w:eastAsia="Times New Roman" w:hAnsi="Helvetica" w:cs="Times New Roman"/>
          <w:sz w:val="22"/>
          <w:lang w:eastAsia="en-GB"/>
        </w:rPr>
        <w:t xml:space="preserve">eliable recyclate </w:t>
      </w:r>
      <w:r w:rsidR="000F7870">
        <w:rPr>
          <w:rFonts w:ascii="Helvetica" w:eastAsia="Times New Roman" w:hAnsi="Helvetica" w:cs="Times New Roman"/>
          <w:sz w:val="22"/>
          <w:lang w:eastAsia="en-GB"/>
        </w:rPr>
        <w:t>benefits</w:t>
      </w:r>
      <w:r w:rsidR="000F7870"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are important for the hybrid blade to determine the ‘optimal’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w:t>
      </w:r>
    </w:p>
    <w:p w14:paraId="03C8BE12" w14:textId="77777777" w:rsidR="006F53C1" w:rsidRDefault="00CA64BA">
      <w:pPr>
        <w:pStyle w:val="Heading2"/>
        <w:rPr>
          <w:lang w:eastAsia="en-GB"/>
        </w:rPr>
      </w:pPr>
      <w:r>
        <w:rPr>
          <w:lang w:eastAsia="en-GB"/>
        </w:rPr>
        <w:lastRenderedPageBreak/>
        <w:t>Discussion</w:t>
      </w:r>
    </w:p>
    <w:p w14:paraId="473073A8" w14:textId="77777777" w:rsidR="00B37395" w:rsidRPr="002A6DBD" w:rsidRDefault="002F1502" w:rsidP="00B37395">
      <w:pPr>
        <w:tabs>
          <w:tab w:val="left" w:pos="851"/>
        </w:tabs>
        <w:spacing w:before="120" w:line="360" w:lineRule="auto"/>
        <w:rPr>
          <w:rFonts w:ascii="Helvetica" w:eastAsia="Times New Roman" w:hAnsi="Helvetica" w:cs="Times New Roman"/>
          <w:lang w:eastAsia="en-GB"/>
        </w:rPr>
      </w:pPr>
      <w:r>
        <w:rPr>
          <w:noProof/>
          <w:lang w:eastAsia="zh-CN"/>
        </w:rPr>
        <w:drawing>
          <wp:inline distT="0" distB="0" distL="0" distR="0" wp14:anchorId="40E693D9" wp14:editId="0686B69D">
            <wp:extent cx="5727700" cy="3571240"/>
            <wp:effectExtent l="0" t="0" r="6350" b="10160"/>
            <wp:docPr id="8" name="Chart 8">
              <a:extLst xmlns:a="http://schemas.openxmlformats.org/drawingml/2006/main">
                <a:ext uri="{FF2B5EF4-FFF2-40B4-BE49-F238E27FC236}">
                  <a16:creationId xmlns:mo="http://schemas.microsoft.com/office/mac/office/2008/main" xmlns:mv="urn:schemas-microsoft-com:mac:vml"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D1D9EF" w14:textId="77777777" w:rsidR="00B37395" w:rsidRPr="002A6DBD" w:rsidRDefault="00B37395" w:rsidP="00B37395">
      <w:pPr>
        <w:pStyle w:val="Caption"/>
        <w:rPr>
          <w:lang w:eastAsia="en-GB"/>
        </w:rPr>
      </w:pPr>
      <w:bookmarkStart w:id="16" w:name="_Toc486170188"/>
      <w:r w:rsidRPr="002A6DBD">
        <w:rPr>
          <w:lang w:eastAsia="en-GB"/>
        </w:rPr>
        <w:t xml:space="preserve">Figure </w:t>
      </w:r>
      <w:r w:rsidR="00107EB7">
        <w:rPr>
          <w:lang w:eastAsia="en-GB"/>
        </w:rPr>
        <w:fldChar w:fldCharType="begin"/>
      </w:r>
      <w:r>
        <w:rPr>
          <w:lang w:eastAsia="en-GB"/>
        </w:rPr>
        <w:instrText xml:space="preserve"> SEQ Figure \* ARABIC </w:instrText>
      </w:r>
      <w:r w:rsidR="00107EB7">
        <w:rPr>
          <w:lang w:eastAsia="en-GB"/>
        </w:rPr>
        <w:fldChar w:fldCharType="separate"/>
      </w:r>
      <w:r w:rsidR="00CB61A7">
        <w:rPr>
          <w:noProof/>
          <w:lang w:eastAsia="en-GB"/>
        </w:rPr>
        <w:t>11</w:t>
      </w:r>
      <w:r w:rsidR="00107EB7">
        <w:rPr>
          <w:lang w:eastAsia="en-GB"/>
        </w:rPr>
        <w:fldChar w:fldCharType="end"/>
      </w:r>
      <w:r w:rsidRPr="002A6DBD">
        <w:rPr>
          <w:lang w:eastAsia="en-GB"/>
        </w:rPr>
        <w:t xml:space="preserve">: </w:t>
      </w:r>
      <w:proofErr w:type="spellStart"/>
      <w:r w:rsidR="00144DC4" w:rsidRPr="002A6DBD">
        <w:rPr>
          <w:lang w:eastAsia="en-GB"/>
        </w:rPr>
        <w:t>EoL</w:t>
      </w:r>
      <w:proofErr w:type="spellEnd"/>
      <w:r w:rsidR="00144DC4" w:rsidRPr="002A6DBD">
        <w:rPr>
          <w:lang w:eastAsia="en-GB"/>
        </w:rPr>
        <w:t xml:space="preserve"> options </w:t>
      </w:r>
      <w:r w:rsidR="00144DC4">
        <w:rPr>
          <w:lang w:eastAsia="en-GB"/>
        </w:rPr>
        <w:t>comparison of net impacts of t</w:t>
      </w:r>
      <w:r w:rsidR="00144DC4" w:rsidRPr="002A6DBD">
        <w:rPr>
          <w:lang w:eastAsia="en-GB"/>
        </w:rPr>
        <w:t xml:space="preserve">hree </w:t>
      </w:r>
      <w:r w:rsidRPr="002A6DBD">
        <w:rPr>
          <w:lang w:eastAsia="en-GB"/>
        </w:rPr>
        <w:t>blade models</w:t>
      </w:r>
      <w:r w:rsidR="00144DC4">
        <w:rPr>
          <w:lang w:eastAsia="en-GB"/>
        </w:rPr>
        <w:t xml:space="preserve"> (i.e., GF, hybrid and CF)</w:t>
      </w:r>
      <w:r w:rsidRPr="002A6DBD">
        <w:rPr>
          <w:lang w:eastAsia="en-GB"/>
        </w:rPr>
        <w:t xml:space="preserve"> </w:t>
      </w:r>
      <w:r w:rsidR="00144DC4">
        <w:rPr>
          <w:lang w:eastAsia="en-GB"/>
        </w:rPr>
        <w:t>to benchmark landfill</w:t>
      </w:r>
      <w:r w:rsidRPr="002A6DBD">
        <w:rPr>
          <w:lang w:eastAsia="en-GB"/>
        </w:rPr>
        <w:t>.</w:t>
      </w:r>
      <w:bookmarkEnd w:id="16"/>
      <w:r w:rsidRPr="002A6DBD">
        <w:rPr>
          <w:lang w:eastAsia="en-GB"/>
        </w:rPr>
        <w:t xml:space="preserve"> </w:t>
      </w:r>
      <w:r w:rsidR="005F3D6F">
        <w:t>MAP=</w:t>
      </w:r>
      <w:r w:rsidR="005F3D6F" w:rsidRPr="005F3D6F">
        <w:t>Microwave Assisted Pyrolysis</w:t>
      </w:r>
      <w:r w:rsidR="005F3D6F">
        <w:t>, HVF=</w:t>
      </w:r>
      <w:r w:rsidR="005F3D6F" w:rsidRPr="005F3D6F">
        <w:t>High Voltage Fragmentation</w:t>
      </w:r>
      <w:r w:rsidR="005F3D6F">
        <w:t>, LE=life extension.</w:t>
      </w:r>
    </w:p>
    <w:p w14:paraId="31642F03" w14:textId="778175A6" w:rsidR="00226A39" w:rsidRDefault="00500DAB" w:rsidP="00B37395">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Using energy consumption as the metric, t</w:t>
      </w:r>
      <w:r w:rsidRPr="00B44120">
        <w:rPr>
          <w:rFonts w:ascii="Helvetica" w:eastAsia="Times New Roman" w:hAnsi="Helvetica" w:cs="Times New Roman" w:hint="eastAsia"/>
          <w:sz w:val="22"/>
          <w:lang w:eastAsia="en-GB"/>
        </w:rPr>
        <w:t>he</w:t>
      </w:r>
      <w:r w:rsidRPr="00B44120">
        <w:rPr>
          <w:rFonts w:ascii="Helvetica" w:eastAsia="Times New Roman" w:hAnsi="Helvetica" w:cs="Times New Roman"/>
          <w:sz w:val="22"/>
          <w:lang w:eastAsia="en-GB"/>
        </w:rPr>
        <w:t xml:space="preserve"> </w:t>
      </w:r>
      <w:r w:rsidR="00B37395" w:rsidRPr="00B44120">
        <w:rPr>
          <w:rFonts w:ascii="Helvetica" w:eastAsia="Times New Roman" w:hAnsi="Helvetica" w:cs="Times New Roman"/>
          <w:sz w:val="22"/>
          <w:lang w:eastAsia="en-GB"/>
        </w:rPr>
        <w:t xml:space="preserve">net lifecycle environmental impacts of </w:t>
      </w:r>
      <w:r w:rsidR="001B1E0C">
        <w:rPr>
          <w:rFonts w:ascii="Helvetica" w:eastAsia="Times New Roman" w:hAnsi="Helvetica" w:cs="Times New Roman"/>
          <w:sz w:val="22"/>
          <w:lang w:eastAsia="en-GB"/>
        </w:rPr>
        <w:t xml:space="preserve">the </w:t>
      </w:r>
      <w:r w:rsidR="00B37395" w:rsidRPr="00B44120">
        <w:rPr>
          <w:rFonts w:ascii="Helvetica" w:eastAsia="Times New Roman" w:hAnsi="Helvetica" w:cs="Times New Roman"/>
          <w:sz w:val="22"/>
          <w:lang w:eastAsia="en-GB"/>
        </w:rPr>
        <w:t>three blade models in the base case are summarised here for c</w:t>
      </w:r>
      <w:r w:rsidR="00436312">
        <w:rPr>
          <w:rFonts w:ascii="Helvetica" w:eastAsia="Times New Roman" w:hAnsi="Helvetica" w:cs="Times New Roman"/>
          <w:sz w:val="22"/>
          <w:lang w:eastAsia="en-GB"/>
        </w:rPr>
        <w:t>omparison. As shown in Figure 11</w:t>
      </w:r>
      <w:r w:rsidR="00B37395" w:rsidRPr="00B44120">
        <w:rPr>
          <w:rFonts w:ascii="Helvetica" w:eastAsia="Times New Roman" w:hAnsi="Helvetica" w:cs="Times New Roman"/>
          <w:sz w:val="22"/>
          <w:lang w:eastAsia="en-GB"/>
        </w:rPr>
        <w:t xml:space="preserve">, </w:t>
      </w:r>
      <w:r w:rsidR="00B37395">
        <w:rPr>
          <w:rFonts w:ascii="Helvetica" w:eastAsia="Times New Roman" w:hAnsi="Helvetica" w:cs="Times New Roman"/>
          <w:sz w:val="22"/>
          <w:lang w:eastAsia="en-GB"/>
        </w:rPr>
        <w:t xml:space="preserve">for the GF blade </w:t>
      </w:r>
      <w:r w:rsidR="00B37395" w:rsidRPr="00B44120">
        <w:rPr>
          <w:rFonts w:ascii="Helvetica" w:eastAsia="Times New Roman" w:hAnsi="Helvetica" w:cs="Times New Roman"/>
          <w:sz w:val="22"/>
          <w:lang w:eastAsia="en-GB"/>
        </w:rPr>
        <w:t xml:space="preserve">the results of ready-to-go (the fluidised-bed process, pyrolysis) and lab scale (MAP, chemical, HVF) recycling technologies are not encouraging. </w:t>
      </w:r>
      <w:r w:rsidR="00B37395">
        <w:rPr>
          <w:rFonts w:ascii="Helvetica" w:eastAsia="Times New Roman" w:hAnsi="Helvetica" w:cs="Times New Roman"/>
          <w:sz w:val="22"/>
          <w:lang w:eastAsia="en-GB"/>
        </w:rPr>
        <w:t>T</w:t>
      </w:r>
      <w:r w:rsidR="00B37395" w:rsidRPr="00B44120">
        <w:rPr>
          <w:rFonts w:ascii="Helvetica" w:eastAsia="Times New Roman" w:hAnsi="Helvetica" w:cs="Times New Roman"/>
          <w:sz w:val="22"/>
          <w:lang w:eastAsia="en-GB"/>
        </w:rPr>
        <w:t>he combination of high processing energy and low recyclate value</w:t>
      </w:r>
      <w:r w:rsidR="00B37395">
        <w:rPr>
          <w:rFonts w:ascii="Helvetica" w:eastAsia="Times New Roman" w:hAnsi="Helvetica" w:cs="Times New Roman"/>
          <w:sz w:val="22"/>
          <w:lang w:eastAsia="en-GB"/>
        </w:rPr>
        <w:t xml:space="preserve"> means most</w:t>
      </w:r>
      <w:r w:rsidR="00B37395" w:rsidRPr="00B44120">
        <w:rPr>
          <w:rFonts w:ascii="Helvetica" w:eastAsia="Times New Roman" w:hAnsi="Helvetica" w:cs="Times New Roman"/>
          <w:sz w:val="22"/>
          <w:lang w:eastAsia="en-GB"/>
        </w:rPr>
        <w:t xml:space="preserve"> have </w:t>
      </w:r>
      <w:r w:rsidR="00B37395" w:rsidRPr="00B44120">
        <w:rPr>
          <w:rFonts w:ascii="Helvetica" w:eastAsia="Times New Roman" w:hAnsi="Helvetica" w:cs="Times New Roman" w:hint="eastAsia"/>
          <w:sz w:val="22"/>
          <w:lang w:eastAsia="en-GB"/>
        </w:rPr>
        <w:t>high</w:t>
      </w:r>
      <w:r w:rsidR="00B37395" w:rsidRPr="00B44120">
        <w:rPr>
          <w:rFonts w:ascii="Helvetica" w:eastAsia="Times New Roman" w:hAnsi="Helvetica" w:cs="Times New Roman"/>
          <w:sz w:val="22"/>
          <w:lang w:eastAsia="en-GB"/>
        </w:rPr>
        <w:t xml:space="preserve">er </w:t>
      </w:r>
      <w:r w:rsidR="00B37395" w:rsidRPr="00B44120">
        <w:rPr>
          <w:rFonts w:ascii="Helvetica" w:eastAsia="Times New Roman" w:hAnsi="Helvetica" w:cs="Times New Roman" w:hint="eastAsia"/>
          <w:sz w:val="22"/>
          <w:lang w:eastAsia="en-GB"/>
        </w:rPr>
        <w:t>net</w:t>
      </w:r>
      <w:r w:rsidR="00B37395" w:rsidRPr="00B44120">
        <w:rPr>
          <w:rFonts w:ascii="Helvetica" w:eastAsia="Times New Roman" w:hAnsi="Helvetica" w:cs="Times New Roman"/>
          <w:sz w:val="22"/>
          <w:lang w:eastAsia="en-GB"/>
        </w:rPr>
        <w:t xml:space="preserve"> impacts than landfill</w:t>
      </w:r>
      <w:r w:rsidR="00B37395">
        <w:rPr>
          <w:rFonts w:ascii="Helvetica" w:eastAsia="Times New Roman" w:hAnsi="Helvetica" w:cs="Times New Roman"/>
          <w:sz w:val="22"/>
          <w:lang w:eastAsia="en-GB"/>
        </w:rPr>
        <w:t>, and the benefits are insignificant even for those with</w:t>
      </w:r>
      <w:r w:rsidR="00B37395" w:rsidRPr="00B44120">
        <w:rPr>
          <w:rFonts w:ascii="Helvetica" w:eastAsia="Times New Roman" w:hAnsi="Helvetica" w:cs="Times New Roman"/>
          <w:sz w:val="22"/>
          <w:lang w:eastAsia="en-GB"/>
        </w:rPr>
        <w:t xml:space="preserve"> lower net impacts. Of all recycling options, chemical recycling </w:t>
      </w:r>
      <w:r w:rsidR="00DC0C67">
        <w:rPr>
          <w:rFonts w:ascii="Helvetica" w:eastAsia="Times New Roman" w:hAnsi="Helvetica" w:cs="Times New Roman"/>
          <w:sz w:val="22"/>
          <w:lang w:eastAsia="en-GB"/>
        </w:rPr>
        <w:t>(if available on a commercial scale)</w:t>
      </w:r>
      <w:r w:rsidR="00DC0C67" w:rsidRPr="00B44120">
        <w:rPr>
          <w:rFonts w:ascii="Helvetica" w:eastAsia="Times New Roman" w:hAnsi="Helvetica" w:cs="Times New Roman"/>
          <w:sz w:val="22"/>
          <w:lang w:eastAsia="en-GB"/>
        </w:rPr>
        <w:t xml:space="preserve"> </w:t>
      </w:r>
      <w:r w:rsidR="00DC0C67">
        <w:rPr>
          <w:rFonts w:ascii="Helvetica" w:eastAsia="Times New Roman" w:hAnsi="Helvetica" w:cs="Times New Roman"/>
          <w:sz w:val="22"/>
          <w:lang w:eastAsia="en-GB"/>
        </w:rPr>
        <w:t xml:space="preserve">will be </w:t>
      </w:r>
      <w:r w:rsidR="00B37395" w:rsidRPr="00B44120">
        <w:rPr>
          <w:rFonts w:ascii="Helvetica" w:eastAsia="Times New Roman" w:hAnsi="Helvetica" w:cs="Times New Roman"/>
          <w:sz w:val="22"/>
          <w:lang w:eastAsia="en-GB"/>
        </w:rPr>
        <w:t>best placed to reduce environmental impact</w:t>
      </w:r>
      <w:r w:rsidR="00B37395">
        <w:rPr>
          <w:rFonts w:ascii="Helvetica" w:eastAsia="Times New Roman" w:hAnsi="Helvetica" w:cs="Times New Roman"/>
          <w:sz w:val="22"/>
          <w:lang w:eastAsia="en-GB"/>
        </w:rPr>
        <w:t xml:space="preserve"> </w:t>
      </w:r>
      <w:r w:rsidR="00B37395">
        <w:rPr>
          <w:rFonts w:ascii="Helvetica" w:eastAsia="Times New Roman" w:hAnsi="Helvetica" w:cs="Times New Roman"/>
          <w:sz w:val="22"/>
        </w:rPr>
        <w:t>to 86%</w:t>
      </w:r>
      <w:r w:rsidR="001B1E0C">
        <w:rPr>
          <w:rFonts w:ascii="Helvetica" w:eastAsia="Times New Roman" w:hAnsi="Helvetica" w:cs="Times New Roman"/>
          <w:sz w:val="22"/>
        </w:rPr>
        <w:t xml:space="preserve"> of the landfill impact</w:t>
      </w:r>
      <w:r w:rsidR="00B37395" w:rsidRPr="00B44120">
        <w:rPr>
          <w:rFonts w:ascii="Helvetica" w:eastAsia="Times New Roman" w:hAnsi="Helvetica" w:cs="Times New Roman"/>
          <w:sz w:val="22"/>
          <w:lang w:eastAsia="en-GB"/>
        </w:rPr>
        <w:t>.</w:t>
      </w:r>
      <w:r w:rsidR="00226A39">
        <w:rPr>
          <w:rFonts w:ascii="Helvetica" w:eastAsia="Times New Roman" w:hAnsi="Helvetica" w:cs="Times New Roman"/>
          <w:sz w:val="22"/>
          <w:lang w:eastAsia="en-GB"/>
        </w:rPr>
        <w:t xml:space="preserve"> </w:t>
      </w:r>
      <w:r w:rsidR="00DC0C67">
        <w:rPr>
          <w:rFonts w:ascii="Helvetica" w:eastAsia="Times New Roman" w:hAnsi="Helvetica" w:cs="Times New Roman"/>
          <w:sz w:val="22"/>
          <w:lang w:eastAsia="en-GB"/>
        </w:rPr>
        <w:t>On the other hand, i</w:t>
      </w:r>
      <w:r w:rsidR="00DC0C67" w:rsidRPr="00B44120">
        <w:rPr>
          <w:rFonts w:ascii="Helvetica" w:eastAsia="Times New Roman" w:hAnsi="Helvetica" w:cs="Times New Roman"/>
          <w:sz w:val="22"/>
          <w:lang w:eastAsia="en-GB"/>
        </w:rPr>
        <w:t>f we want to process the waste now rather than wait</w:t>
      </w:r>
      <w:r w:rsidR="00226A39">
        <w:rPr>
          <w:rFonts w:ascii="Helvetica" w:eastAsia="Times New Roman" w:hAnsi="Helvetica" w:cs="Times New Roman"/>
          <w:sz w:val="22"/>
          <w:lang w:eastAsia="en-GB"/>
        </w:rPr>
        <w:t xml:space="preserve"> for technological development</w:t>
      </w:r>
      <w:r w:rsidR="00DC0C67" w:rsidRPr="00B44120">
        <w:rPr>
          <w:rFonts w:ascii="Helvetica" w:eastAsia="Times New Roman" w:hAnsi="Helvetica" w:cs="Times New Roman"/>
          <w:sz w:val="22"/>
          <w:lang w:eastAsia="en-GB"/>
        </w:rPr>
        <w:t xml:space="preserve">, mechanical recycling is the ‘optimal’ mature technology as it can reduce net impact </w:t>
      </w:r>
      <w:r w:rsidR="00DC0C67">
        <w:rPr>
          <w:rFonts w:ascii="Helvetica" w:eastAsia="Times New Roman" w:hAnsi="Helvetica" w:cs="Times New Roman"/>
          <w:sz w:val="22"/>
          <w:lang w:eastAsia="en-GB"/>
        </w:rPr>
        <w:t>to 9</w:t>
      </w:r>
      <w:r w:rsidR="00DC0C67" w:rsidRPr="00B44120">
        <w:rPr>
          <w:rFonts w:ascii="Helvetica" w:eastAsia="Times New Roman" w:hAnsi="Helvetica" w:cs="Times New Roman"/>
          <w:sz w:val="22"/>
          <w:lang w:eastAsia="en-GB"/>
        </w:rPr>
        <w:t xml:space="preserve">0% </w:t>
      </w:r>
      <w:r w:rsidR="00DC0C67">
        <w:rPr>
          <w:rFonts w:ascii="Helvetica" w:eastAsia="Times New Roman" w:hAnsi="Helvetica" w:cs="Times New Roman"/>
          <w:sz w:val="22"/>
          <w:lang w:eastAsia="en-GB"/>
        </w:rPr>
        <w:t>of the</w:t>
      </w:r>
      <w:r w:rsidR="00DC0C67" w:rsidRPr="00B44120">
        <w:rPr>
          <w:rFonts w:ascii="Helvetica" w:eastAsia="Times New Roman" w:hAnsi="Helvetica" w:cs="Times New Roman"/>
          <w:sz w:val="22"/>
          <w:lang w:eastAsia="en-GB"/>
        </w:rPr>
        <w:t xml:space="preserve"> landfill</w:t>
      </w:r>
      <w:r w:rsidR="00DC0C67">
        <w:rPr>
          <w:rFonts w:ascii="Helvetica" w:eastAsia="Times New Roman" w:hAnsi="Helvetica" w:cs="Times New Roman"/>
          <w:sz w:val="22"/>
          <w:lang w:eastAsia="en-GB"/>
        </w:rPr>
        <w:t xml:space="preserve"> impact.</w:t>
      </w:r>
      <w:r w:rsidR="00DC0C67" w:rsidRPr="00B44120">
        <w:rPr>
          <w:rFonts w:ascii="Helvetica" w:eastAsia="Times New Roman" w:hAnsi="Helvetica" w:cs="Times New Roman"/>
          <w:sz w:val="22"/>
          <w:lang w:eastAsia="en-GB"/>
        </w:rPr>
        <w:t xml:space="preserve"> </w:t>
      </w:r>
      <w:r w:rsidR="00DC0C67">
        <w:rPr>
          <w:rFonts w:ascii="Helvetica" w:eastAsia="Times New Roman" w:hAnsi="Helvetica" w:cs="Times New Roman"/>
          <w:sz w:val="22"/>
          <w:lang w:eastAsia="en-GB"/>
        </w:rPr>
        <w:t>I</w:t>
      </w:r>
      <w:r w:rsidR="00DC0C67" w:rsidRPr="00B44120">
        <w:rPr>
          <w:rFonts w:ascii="Helvetica" w:eastAsia="Times New Roman" w:hAnsi="Helvetica" w:cs="Times New Roman"/>
          <w:sz w:val="22"/>
          <w:lang w:eastAsia="en-GB"/>
        </w:rPr>
        <w:t xml:space="preserve">ncineration </w:t>
      </w:r>
      <w:r w:rsidR="00DC0C67">
        <w:rPr>
          <w:rFonts w:ascii="Helvetica" w:eastAsia="Times New Roman" w:hAnsi="Helvetica" w:cs="Times New Roman"/>
          <w:sz w:val="22"/>
          <w:lang w:eastAsia="en-GB"/>
        </w:rPr>
        <w:t xml:space="preserve">is another possibility to be considered: although the net impact is reduced only to 96%, it has the added benefit of significantly reducing residual waste volumes. </w:t>
      </w:r>
    </w:p>
    <w:p w14:paraId="16366C5D" w14:textId="0140476E" w:rsidR="00B37395" w:rsidRDefault="00B37395" w:rsidP="00B37395">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t xml:space="preserve">Considering </w:t>
      </w:r>
      <w:r w:rsidRPr="00B44120">
        <w:rPr>
          <w:rFonts w:ascii="Helvetica" w:eastAsia="Times New Roman" w:hAnsi="Helvetica" w:cs="Times New Roman" w:hint="eastAsia"/>
          <w:sz w:val="22"/>
          <w:lang w:eastAsia="en-GB"/>
        </w:rPr>
        <w:t>a</w:t>
      </w:r>
      <w:r w:rsidRPr="00B44120">
        <w:rPr>
          <w:rFonts w:ascii="Helvetica" w:eastAsia="Times New Roman" w:hAnsi="Helvetica" w:cs="Times New Roman"/>
          <w:sz w:val="22"/>
          <w:lang w:eastAsia="en-GB"/>
        </w:rPr>
        <w:t xml:space="preserve">ll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options, life extension (LE) 10 years has the lowest net impact, the best overall result, reducing the net impact to 53%. Hence, at current technological levels, life extension is the ‘optimal’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 for GF blades. </w:t>
      </w:r>
      <w:r w:rsidR="001B1E0C">
        <w:rPr>
          <w:rFonts w:ascii="Helvetica" w:eastAsia="Times New Roman" w:hAnsi="Helvetica" w:cs="Times New Roman"/>
          <w:sz w:val="22"/>
          <w:lang w:eastAsia="en-GB"/>
        </w:rPr>
        <w:t>T</w:t>
      </w:r>
      <w:r w:rsidRPr="00B44120">
        <w:rPr>
          <w:rFonts w:ascii="Helvetica" w:eastAsia="Times New Roman" w:hAnsi="Helvetica" w:cs="Times New Roman"/>
          <w:sz w:val="22"/>
          <w:lang w:eastAsia="en-GB"/>
        </w:rPr>
        <w:t>hese life-extended blades will ultimately still need to be processed, although this option gives more time for lab-scale technologies to mature, with the possibility of lower processing energy and better recyclate performance</w:t>
      </w:r>
      <w:r w:rsidRPr="00B44120">
        <w:rPr>
          <w:rFonts w:ascii="Helvetica" w:eastAsia="Times New Roman" w:hAnsi="Helvetica" w:cs="Times New Roman" w:hint="eastAsia"/>
          <w:sz w:val="22"/>
          <w:lang w:eastAsia="en-GB"/>
        </w:rPr>
        <w:t xml:space="preserve"> in</w:t>
      </w:r>
      <w:r w:rsidRPr="00B44120">
        <w:rPr>
          <w:rFonts w:ascii="Helvetica" w:eastAsia="Times New Roman" w:hAnsi="Helvetica" w:cs="Times New Roman"/>
          <w:sz w:val="22"/>
          <w:lang w:eastAsia="en-GB"/>
        </w:rPr>
        <w:t xml:space="preserve"> the future. </w:t>
      </w:r>
    </w:p>
    <w:p w14:paraId="1BF98D2B" w14:textId="0D96FB80" w:rsidR="00B37395" w:rsidRPr="00B44120" w:rsidRDefault="00B37395" w:rsidP="00B37395">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lastRenderedPageBreak/>
        <w:t xml:space="preserve">In the future, when the lab-scale technologies are mature, chemical recycling would be the ‘optimal’ choice since it has the best potential to reduce the maximum environmental impact. However, it </w:t>
      </w:r>
      <w:r>
        <w:rPr>
          <w:rFonts w:ascii="Helvetica" w:eastAsia="Times New Roman" w:hAnsi="Helvetica" w:cs="Times New Roman"/>
          <w:sz w:val="22"/>
          <w:lang w:eastAsia="en-GB"/>
        </w:rPr>
        <w:t>should</w:t>
      </w:r>
      <w:r w:rsidRPr="00B44120">
        <w:rPr>
          <w:rFonts w:ascii="Helvetica" w:eastAsia="Times New Roman" w:hAnsi="Helvetica" w:cs="Times New Roman"/>
          <w:sz w:val="22"/>
          <w:lang w:eastAsia="en-GB"/>
        </w:rPr>
        <w:t xml:space="preserve"> be noted that this option is strongly affected by the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processing energy and the recyclate value</w:t>
      </w:r>
      <w:r>
        <w:rPr>
          <w:rFonts w:ascii="Helvetica" w:eastAsia="Times New Roman" w:hAnsi="Helvetica" w:cs="Times New Roman"/>
          <w:sz w:val="22"/>
          <w:lang w:eastAsia="en-GB"/>
        </w:rPr>
        <w:t>, both of which may change in the future</w:t>
      </w:r>
      <w:r w:rsidRPr="00B44120">
        <w:rPr>
          <w:rFonts w:ascii="Helvetica" w:eastAsia="Times New Roman" w:hAnsi="Helvetica" w:cs="Times New Roman"/>
          <w:sz w:val="22"/>
          <w:lang w:eastAsia="en-GB"/>
        </w:rPr>
        <w:t xml:space="preserve">. </w:t>
      </w:r>
      <w:r>
        <w:rPr>
          <w:rFonts w:ascii="Helvetica" w:eastAsia="Times New Roman" w:hAnsi="Helvetica" w:cs="Times New Roman"/>
          <w:sz w:val="22"/>
          <w:lang w:eastAsia="en-GB"/>
        </w:rPr>
        <w:t>If</w:t>
      </w:r>
      <w:r w:rsidRPr="00B44120">
        <w:rPr>
          <w:rFonts w:ascii="Helvetica" w:eastAsia="Times New Roman" w:hAnsi="Helvetica" w:cs="Times New Roman"/>
          <w:sz w:val="22"/>
          <w:lang w:eastAsia="en-GB"/>
        </w:rPr>
        <w:t xml:space="preserve"> the processing energy increase</w:t>
      </w:r>
      <w:r>
        <w:rPr>
          <w:rFonts w:ascii="Helvetica" w:eastAsia="Times New Roman" w:hAnsi="Helvetica" w:cs="Times New Roman"/>
          <w:sz w:val="22"/>
          <w:lang w:eastAsia="en-GB"/>
        </w:rPr>
        <w:t>s</w:t>
      </w:r>
      <w:r w:rsidRPr="00B44120">
        <w:rPr>
          <w:rFonts w:ascii="Helvetica" w:eastAsia="Times New Roman" w:hAnsi="Helvetica" w:cs="Times New Roman"/>
          <w:sz w:val="22"/>
          <w:lang w:eastAsia="en-GB"/>
        </w:rPr>
        <w:t xml:space="preserve"> to over 35 MJ/kg or the recyclate value drops </w:t>
      </w:r>
      <w:r w:rsidRPr="00B44120">
        <w:rPr>
          <w:rFonts w:ascii="Helvetica" w:eastAsia="Times New Roman" w:hAnsi="Helvetica" w:cs="Times New Roman" w:hint="eastAsia"/>
          <w:sz w:val="22"/>
          <w:lang w:eastAsia="en-GB"/>
        </w:rPr>
        <w:t>by</w:t>
      </w:r>
      <w:r w:rsidRPr="00B44120">
        <w:rPr>
          <w:rFonts w:ascii="Helvetica" w:eastAsia="Times New Roman" w:hAnsi="Helvetica" w:cs="Times New Roman"/>
          <w:sz w:val="22"/>
          <w:lang w:eastAsia="en-GB"/>
        </w:rPr>
        <w:t xml:space="preserve"> 47%</w:t>
      </w:r>
      <w:r w:rsidR="00F20503">
        <w:rPr>
          <w:rFonts w:ascii="Helvetica" w:eastAsia="Times New Roman" w:hAnsi="Helvetica" w:cs="Times New Roman"/>
          <w:sz w:val="22"/>
          <w:lang w:eastAsia="en-GB"/>
        </w:rPr>
        <w:t xml:space="preserve"> (</w:t>
      </w:r>
      <w:r w:rsidR="00976411">
        <w:rPr>
          <w:rFonts w:ascii="Helvetica" w:eastAsia="Times New Roman" w:hAnsi="Helvetica" w:cs="Times New Roman"/>
          <w:sz w:val="22"/>
          <w:lang w:eastAsia="en-GB"/>
        </w:rPr>
        <w:t>Section 3.4, Figure 6</w:t>
      </w:r>
      <w:r w:rsidR="00F20503">
        <w:rPr>
          <w:rFonts w:ascii="Helvetica" w:eastAsia="Times New Roman" w:hAnsi="Helvetica" w:cs="Times New Roman"/>
          <w:sz w:val="22"/>
          <w:lang w:eastAsia="en-GB"/>
        </w:rPr>
        <w:t>)</w:t>
      </w:r>
      <w:r w:rsidRPr="00B44120">
        <w:rPr>
          <w:rFonts w:ascii="Helvetica" w:eastAsia="Times New Roman" w:hAnsi="Helvetica" w:cs="Times New Roman"/>
          <w:sz w:val="22"/>
          <w:lang w:eastAsia="en-GB"/>
        </w:rPr>
        <w:t xml:space="preserve">, it is no longer worth using chemical recycling to reduce </w:t>
      </w:r>
      <w:r w:rsidR="00226A39">
        <w:rPr>
          <w:rFonts w:ascii="Helvetica" w:eastAsia="Times New Roman" w:hAnsi="Helvetica" w:cs="Times New Roman"/>
          <w:sz w:val="22"/>
          <w:lang w:eastAsia="en-GB"/>
        </w:rPr>
        <w:t>environmental</w:t>
      </w:r>
      <w:r w:rsidR="00226A39" w:rsidRPr="00B44120">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impact.</w:t>
      </w:r>
    </w:p>
    <w:p w14:paraId="307D2BE4" w14:textId="5BBC5ED5" w:rsidR="00B37395" w:rsidRPr="00B44120" w:rsidRDefault="00B37395" w:rsidP="00B37395">
      <w:pPr>
        <w:tabs>
          <w:tab w:val="left" w:pos="851"/>
        </w:tabs>
        <w:spacing w:before="120" w:line="360" w:lineRule="auto"/>
        <w:rPr>
          <w:rFonts w:ascii="Helvetica" w:eastAsia="Times New Roman" w:hAnsi="Helvetica" w:cs="Times New Roman"/>
          <w:sz w:val="22"/>
          <w:lang w:eastAsia="en-GB"/>
        </w:rPr>
      </w:pPr>
      <w:r w:rsidRPr="00B44120">
        <w:rPr>
          <w:rFonts w:ascii="Helvetica" w:eastAsia="Times New Roman" w:hAnsi="Helvetica" w:cs="Times New Roman"/>
          <w:sz w:val="22"/>
          <w:lang w:eastAsia="en-GB"/>
        </w:rPr>
        <w:t xml:space="preserve">For the hybrid blade, mechanical recycling and incineration are the only two methods which have a lower impact than landfill from among the conventional and ready-to-go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options.  These methods can reduce the net impact to 88% and 97% respectively. The more advanced </w:t>
      </w:r>
      <w:r w:rsidRPr="00B44120">
        <w:rPr>
          <w:rFonts w:ascii="Helvetica" w:eastAsia="Times New Roman" w:hAnsi="Helvetica" w:cs="Times New Roman" w:hint="eastAsia"/>
          <w:sz w:val="22"/>
          <w:lang w:eastAsia="en-GB"/>
        </w:rPr>
        <w:t>la</w:t>
      </w:r>
      <w:r w:rsidRPr="00B44120">
        <w:rPr>
          <w:rFonts w:ascii="Helvetica" w:eastAsia="Times New Roman" w:hAnsi="Helvetica" w:cs="Times New Roman"/>
          <w:sz w:val="22"/>
          <w:lang w:eastAsia="en-GB"/>
        </w:rPr>
        <w:t xml:space="preserve">b-scale MAP and HVF can reduce the impact to </w:t>
      </w:r>
      <w:r w:rsidRPr="00B44120">
        <w:rPr>
          <w:rFonts w:ascii="Helvetica" w:eastAsia="Times New Roman" w:hAnsi="Helvetica" w:cs="Times New Roman" w:hint="eastAsia"/>
          <w:sz w:val="22"/>
          <w:lang w:eastAsia="en-GB"/>
        </w:rPr>
        <w:t>90% a</w:t>
      </w:r>
      <w:r>
        <w:rPr>
          <w:rFonts w:ascii="Helvetica" w:eastAsia="Times New Roman" w:hAnsi="Helvetica" w:cs="Times New Roman"/>
          <w:sz w:val="22"/>
          <w:lang w:eastAsia="en-GB"/>
        </w:rPr>
        <w:t>nd 84</w:t>
      </w:r>
      <w:r w:rsidRPr="00B44120">
        <w:rPr>
          <w:rFonts w:ascii="Helvetica" w:eastAsia="Times New Roman" w:hAnsi="Helvetica" w:cs="Times New Roman"/>
          <w:sz w:val="22"/>
          <w:lang w:eastAsia="en-GB"/>
        </w:rPr>
        <w:t xml:space="preserve">% respectively. Chemical recycling performs the best and can </w:t>
      </w:r>
      <w:r>
        <w:rPr>
          <w:rFonts w:ascii="Helvetica" w:eastAsia="Times New Roman" w:hAnsi="Helvetica" w:cs="Times New Roman"/>
          <w:sz w:val="22"/>
          <w:lang w:eastAsia="en-GB"/>
        </w:rPr>
        <w:t xml:space="preserve">provide a significant </w:t>
      </w:r>
      <w:r w:rsidRPr="00B44120">
        <w:rPr>
          <w:rFonts w:ascii="Helvetica" w:eastAsia="Times New Roman" w:hAnsi="Helvetica" w:cs="Times New Roman"/>
          <w:sz w:val="22"/>
          <w:lang w:eastAsia="en-GB"/>
        </w:rPr>
        <w:t xml:space="preserve">decrease </w:t>
      </w:r>
      <w:r>
        <w:rPr>
          <w:rFonts w:ascii="Helvetica" w:eastAsia="Times New Roman" w:hAnsi="Helvetica" w:cs="Times New Roman"/>
          <w:sz w:val="22"/>
          <w:lang w:eastAsia="en-GB"/>
        </w:rPr>
        <w:t xml:space="preserve">in </w:t>
      </w:r>
      <w:r w:rsidRPr="00B44120">
        <w:rPr>
          <w:rFonts w:ascii="Helvetica" w:eastAsia="Times New Roman" w:hAnsi="Helvetica" w:cs="Times New Roman"/>
          <w:sz w:val="22"/>
          <w:lang w:eastAsia="en-GB"/>
        </w:rPr>
        <w:t xml:space="preserve">the net impact to 72%. </w:t>
      </w:r>
      <w:r>
        <w:rPr>
          <w:rFonts w:ascii="Helvetica" w:eastAsia="Times New Roman" w:hAnsi="Helvetica" w:cs="Times New Roman"/>
          <w:sz w:val="22"/>
          <w:lang w:eastAsia="en-GB"/>
        </w:rPr>
        <w:t xml:space="preserve">Sensitivity analysis shows that net impact is strongly dependent on </w:t>
      </w:r>
      <w:r w:rsidRPr="00B44120">
        <w:rPr>
          <w:rFonts w:ascii="Helvetica" w:eastAsia="Times New Roman" w:hAnsi="Helvetica" w:cs="Times New Roman"/>
          <w:sz w:val="22"/>
          <w:lang w:eastAsia="en-GB"/>
        </w:rPr>
        <w:t xml:space="preserve">the recyclate value </w:t>
      </w:r>
      <w:r>
        <w:rPr>
          <w:rFonts w:ascii="Helvetica" w:eastAsia="Times New Roman" w:hAnsi="Helvetica" w:cs="Times New Roman"/>
          <w:sz w:val="22"/>
          <w:lang w:eastAsia="en-GB"/>
        </w:rPr>
        <w:t>and</w:t>
      </w:r>
      <w:r w:rsidRPr="00B44120">
        <w:rPr>
          <w:rFonts w:ascii="Helvetica" w:eastAsia="Times New Roman" w:hAnsi="Helvetica" w:cs="Times New Roman"/>
          <w:sz w:val="22"/>
          <w:lang w:eastAsia="en-GB"/>
        </w:rPr>
        <w:t xml:space="preserve"> processing energy. Therefore, the choice of ‘optimal’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 for hybrid blades is</w:t>
      </w:r>
      <w:r>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reliant on very accurate data, </w:t>
      </w:r>
      <w:r>
        <w:rPr>
          <w:rFonts w:ascii="Helvetica" w:eastAsia="Times New Roman" w:hAnsi="Helvetica" w:cs="Times New Roman"/>
          <w:sz w:val="22"/>
          <w:lang w:eastAsia="en-GB"/>
        </w:rPr>
        <w:t>which will change</w:t>
      </w:r>
      <w:r w:rsidRPr="00B44120">
        <w:rPr>
          <w:rFonts w:ascii="Helvetica" w:eastAsia="Times New Roman" w:hAnsi="Helvetica" w:cs="Times New Roman"/>
          <w:sz w:val="22"/>
          <w:lang w:eastAsia="en-GB"/>
        </w:rPr>
        <w:t xml:space="preserve"> as technologies develop and scale up. </w:t>
      </w:r>
    </w:p>
    <w:p w14:paraId="4D09A251" w14:textId="77777777" w:rsidR="00B37395" w:rsidRDefault="00B37395" w:rsidP="00B37395">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T</w:t>
      </w:r>
      <w:r w:rsidRPr="00B44120">
        <w:rPr>
          <w:rFonts w:ascii="Helvetica" w:eastAsia="Times New Roman" w:hAnsi="Helvetica" w:cs="Times New Roman"/>
          <w:sz w:val="22"/>
          <w:lang w:eastAsia="en-GB"/>
        </w:rPr>
        <w:t>he high embodied energy of CF blades</w:t>
      </w:r>
      <w:r>
        <w:rPr>
          <w:rFonts w:ascii="Helvetica" w:eastAsia="Times New Roman" w:hAnsi="Helvetica" w:cs="Times New Roman"/>
          <w:sz w:val="22"/>
          <w:lang w:eastAsia="en-GB"/>
        </w:rPr>
        <w:t xml:space="preserve"> makes</w:t>
      </w:r>
      <w:r w:rsidRPr="00B44120">
        <w:rPr>
          <w:rFonts w:ascii="Helvetica" w:eastAsia="Times New Roman" w:hAnsi="Helvetica" w:cs="Times New Roman"/>
          <w:sz w:val="22"/>
          <w:lang w:eastAsia="en-GB"/>
        </w:rPr>
        <w:t xml:space="preserve"> their recycling potential higher than the other</w:t>
      </w:r>
      <w:r>
        <w:rPr>
          <w:rFonts w:ascii="Helvetica" w:eastAsia="Times New Roman" w:hAnsi="Helvetica" w:cs="Times New Roman"/>
          <w:sz w:val="22"/>
          <w:lang w:eastAsia="en-GB"/>
        </w:rPr>
        <w:t xml:space="preserve"> two blades:</w:t>
      </w:r>
      <w:r w:rsidRPr="00B44120">
        <w:rPr>
          <w:rFonts w:ascii="Helvetica" w:eastAsia="Times New Roman" w:hAnsi="Helvetica" w:cs="Times New Roman"/>
          <w:sz w:val="22"/>
          <w:lang w:eastAsia="en-GB"/>
        </w:rPr>
        <w:t xml:space="preserve"> the impact of every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 is lower than landfill in the base case and it is less sensitive to variation in processing energy and recyclate value. Conventional mechanical recycling can reduce the impact to 87%. The</w:t>
      </w:r>
      <w:r w:rsidRPr="00B44120">
        <w:rPr>
          <w:rFonts w:ascii="Helvetica" w:eastAsia="Times New Roman" w:hAnsi="Helvetica" w:cs="Times New Roman" w:hint="eastAsia"/>
          <w:sz w:val="22"/>
          <w:lang w:eastAsia="en-GB"/>
        </w:rPr>
        <w:t xml:space="preserve"> </w:t>
      </w:r>
      <w:r w:rsidRPr="00B44120">
        <w:rPr>
          <w:rFonts w:ascii="Helvetica" w:eastAsia="Times New Roman" w:hAnsi="Helvetica" w:cs="Times New Roman"/>
          <w:sz w:val="22"/>
          <w:lang w:eastAsia="en-GB"/>
        </w:rPr>
        <w:t>ready-to-go technologies</w:t>
      </w:r>
      <w:r w:rsidR="00976411">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can reduce the impact to </w:t>
      </w:r>
      <w:r>
        <w:rPr>
          <w:rFonts w:ascii="Helvetica" w:eastAsia="Times New Roman" w:hAnsi="Helvetica" w:cs="Times New Roman"/>
          <w:sz w:val="22"/>
          <w:lang w:eastAsia="en-GB"/>
        </w:rPr>
        <w:t>73</w:t>
      </w:r>
      <w:r w:rsidRPr="00B44120">
        <w:rPr>
          <w:rFonts w:ascii="Helvetica" w:eastAsia="Times New Roman" w:hAnsi="Helvetica" w:cs="Times New Roman"/>
          <w:sz w:val="22"/>
          <w:lang w:eastAsia="en-GB"/>
        </w:rPr>
        <w:t xml:space="preserve">%. </w:t>
      </w:r>
      <w:r>
        <w:rPr>
          <w:rFonts w:ascii="Helvetica" w:eastAsia="Times New Roman" w:hAnsi="Helvetica" w:cs="Times New Roman"/>
          <w:sz w:val="22"/>
          <w:lang w:eastAsia="en-GB"/>
        </w:rPr>
        <w:t>T</w:t>
      </w:r>
      <w:r w:rsidRPr="00B44120">
        <w:rPr>
          <w:rFonts w:ascii="Helvetica" w:eastAsia="Times New Roman" w:hAnsi="Helvetica" w:cs="Times New Roman"/>
          <w:sz w:val="22"/>
          <w:lang w:eastAsia="en-GB"/>
        </w:rPr>
        <w:t>he advanced lab-scale technologies</w:t>
      </w:r>
      <w:r>
        <w:rPr>
          <w:rFonts w:ascii="Helvetica" w:eastAsia="Times New Roman" w:hAnsi="Helvetica" w:cs="Times New Roman"/>
          <w:sz w:val="22"/>
          <w:lang w:eastAsia="en-GB"/>
        </w:rPr>
        <w:t xml:space="preserve"> all show promise for reducing impact, the best being c</w:t>
      </w:r>
      <w:r w:rsidRPr="00B44120">
        <w:rPr>
          <w:rFonts w:ascii="Helvetica" w:eastAsia="Times New Roman" w:hAnsi="Helvetica" w:cs="Times New Roman"/>
          <w:sz w:val="22"/>
          <w:lang w:eastAsia="en-GB"/>
        </w:rPr>
        <w:t>hemical recycling</w:t>
      </w:r>
      <w:r>
        <w:rPr>
          <w:rFonts w:ascii="Helvetica" w:eastAsia="Times New Roman" w:hAnsi="Helvetica" w:cs="Times New Roman"/>
          <w:sz w:val="22"/>
          <w:lang w:eastAsia="en-GB"/>
        </w:rPr>
        <w:t xml:space="preserve"> with the potential to </w:t>
      </w:r>
      <w:r w:rsidRPr="00B44120">
        <w:rPr>
          <w:rFonts w:ascii="Helvetica" w:eastAsia="Times New Roman" w:hAnsi="Helvetica" w:cs="Times New Roman"/>
          <w:sz w:val="22"/>
          <w:lang w:eastAsia="en-GB"/>
        </w:rPr>
        <w:t xml:space="preserve">reduce the net environmental impact of the CF blade to 56% compared to landfill. However, </w:t>
      </w:r>
      <w:r>
        <w:rPr>
          <w:rFonts w:ascii="Helvetica" w:eastAsia="Times New Roman" w:hAnsi="Helvetica" w:cs="Times New Roman"/>
          <w:sz w:val="22"/>
          <w:lang w:eastAsia="en-GB"/>
        </w:rPr>
        <w:t>it should be noted that there is considerable data scatter for these lab-scale technologies (</w:t>
      </w:r>
      <w:r w:rsidR="00976411">
        <w:rPr>
          <w:rFonts w:ascii="Helvetica" w:eastAsia="Times New Roman" w:hAnsi="Helvetica" w:cs="Times New Roman"/>
          <w:sz w:val="22"/>
          <w:lang w:eastAsia="en-GB"/>
        </w:rPr>
        <w:t>Section 3.4</w:t>
      </w:r>
      <w:r>
        <w:rPr>
          <w:rFonts w:ascii="Helvetica" w:eastAsia="Times New Roman" w:hAnsi="Helvetica" w:cs="Times New Roman"/>
          <w:sz w:val="22"/>
          <w:lang w:eastAsia="en-GB"/>
        </w:rPr>
        <w:t xml:space="preserve">), so there is some uncertainty around this figure. </w:t>
      </w:r>
      <w:r w:rsidRPr="00B44120">
        <w:rPr>
          <w:rFonts w:ascii="Helvetica" w:eastAsia="Times New Roman" w:hAnsi="Helvetica" w:cs="Times New Roman"/>
          <w:sz w:val="22"/>
          <w:lang w:eastAsia="en-GB"/>
        </w:rPr>
        <w:t xml:space="preserve">Since all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options are able to reduce the net impact, albeit by different magnitudes, the ‘optimal’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 would be decided by other factors such as technology readiness or economic performance.</w:t>
      </w:r>
    </w:p>
    <w:p w14:paraId="05A4EB20" w14:textId="44C6AB49" w:rsidR="00B37395" w:rsidRPr="00B37395" w:rsidRDefault="00CA64BA" w:rsidP="00B37395">
      <w:pPr>
        <w:pStyle w:val="Heading1"/>
        <w:rPr>
          <w:lang w:eastAsia="en-GB"/>
        </w:rPr>
      </w:pPr>
      <w:r>
        <w:rPr>
          <w:lang w:eastAsia="en-GB"/>
        </w:rPr>
        <w:t>Conclusion</w:t>
      </w:r>
      <w:r w:rsidR="007549E3">
        <w:rPr>
          <w:lang w:eastAsia="en-GB"/>
        </w:rPr>
        <w:t>s</w:t>
      </w:r>
    </w:p>
    <w:p w14:paraId="22DCDB1B" w14:textId="458A8C93" w:rsidR="009055C5" w:rsidRDefault="00B44120" w:rsidP="00843471">
      <w:pPr>
        <w:tabs>
          <w:tab w:val="left" w:pos="851"/>
        </w:tabs>
        <w:spacing w:before="120" w:line="360" w:lineRule="auto"/>
        <w:rPr>
          <w:rFonts w:ascii="Helvetica" w:eastAsia="Times New Roman" w:hAnsi="Helvetica" w:cs="Times New Roman"/>
          <w:sz w:val="22"/>
        </w:rPr>
      </w:pPr>
      <w:r w:rsidRPr="00B44120">
        <w:rPr>
          <w:rFonts w:ascii="Helvetica" w:eastAsia="Times New Roman" w:hAnsi="Helvetica" w:cs="Times New Roman" w:hint="eastAsia"/>
          <w:sz w:val="22"/>
          <w:lang w:eastAsia="en-GB"/>
        </w:rPr>
        <w:t>In</w:t>
      </w:r>
      <w:r w:rsidRPr="00B44120">
        <w:rPr>
          <w:rFonts w:ascii="Helvetica" w:eastAsia="Times New Roman" w:hAnsi="Helvetica" w:cs="Times New Roman"/>
          <w:sz w:val="22"/>
          <w:lang w:eastAsia="en-GB"/>
        </w:rPr>
        <w:t xml:space="preserve"> this </w:t>
      </w:r>
      <w:r w:rsidR="008A2A1E">
        <w:rPr>
          <w:rFonts w:ascii="Helvetica" w:eastAsia="Times New Roman" w:hAnsi="Helvetica" w:cs="Times New Roman"/>
          <w:sz w:val="22"/>
          <w:lang w:eastAsia="en-GB"/>
        </w:rPr>
        <w:t>paper</w:t>
      </w:r>
      <w:r w:rsidRPr="00B44120">
        <w:rPr>
          <w:rFonts w:ascii="Helvetica" w:eastAsia="Times New Roman" w:hAnsi="Helvetica" w:cs="Times New Roman"/>
          <w:sz w:val="22"/>
          <w:lang w:eastAsia="en-GB"/>
        </w:rPr>
        <w:t xml:space="preserve"> we have adopted </w:t>
      </w:r>
      <w:r w:rsidR="00D70911">
        <w:rPr>
          <w:rFonts w:ascii="Helvetica" w:eastAsia="Times New Roman" w:hAnsi="Helvetica" w:cs="Times New Roman"/>
          <w:sz w:val="22"/>
          <w:lang w:eastAsia="en-GB"/>
        </w:rPr>
        <w:t>an</w:t>
      </w:r>
      <w:r w:rsidR="00D70911" w:rsidRPr="00B44120">
        <w:rPr>
          <w:rFonts w:ascii="Helvetica" w:eastAsia="Times New Roman" w:hAnsi="Helvetica" w:cs="Times New Roman"/>
          <w:sz w:val="22"/>
          <w:lang w:eastAsia="en-GB"/>
        </w:rPr>
        <w:t xml:space="preserve"> </w:t>
      </w:r>
      <w:r w:rsidR="00EF1F08">
        <w:rPr>
          <w:rFonts w:ascii="Helvetica" w:eastAsia="Times New Roman" w:hAnsi="Helvetica" w:cs="Times New Roman"/>
          <w:sz w:val="22"/>
          <w:lang w:eastAsia="en-GB"/>
        </w:rPr>
        <w:t xml:space="preserve">eco-audit </w:t>
      </w:r>
      <w:r w:rsidR="00D70911">
        <w:rPr>
          <w:rFonts w:ascii="Helvetica" w:eastAsia="Times New Roman" w:hAnsi="Helvetica" w:cs="Times New Roman"/>
          <w:sz w:val="22"/>
          <w:lang w:eastAsia="en-GB"/>
        </w:rPr>
        <w:t>approach, using energy as the measure of</w:t>
      </w:r>
      <w:r w:rsidR="00EF1F08" w:rsidRPr="00B44120">
        <w:rPr>
          <w:rFonts w:ascii="Helvetica" w:eastAsia="Times New Roman" w:hAnsi="Helvetica" w:cs="Times New Roman"/>
          <w:sz w:val="22"/>
          <w:lang w:eastAsia="en-GB"/>
        </w:rPr>
        <w:t xml:space="preserve"> environmental impact</w:t>
      </w:r>
      <w:r w:rsidR="00EF1F08">
        <w:rPr>
          <w:rFonts w:ascii="Helvetica" w:eastAsia="Times New Roman" w:hAnsi="Helvetica" w:cs="Times New Roman"/>
          <w:sz w:val="22"/>
          <w:lang w:eastAsia="en-GB"/>
        </w:rPr>
        <w:t xml:space="preserve"> </w:t>
      </w:r>
      <w:r w:rsidRPr="00B44120">
        <w:rPr>
          <w:rFonts w:ascii="Helvetica" w:eastAsia="Times New Roman" w:hAnsi="Helvetica" w:cs="Times New Roman"/>
          <w:sz w:val="22"/>
          <w:lang w:eastAsia="en-GB"/>
        </w:rPr>
        <w:t xml:space="preserve">to compare </w:t>
      </w:r>
      <w:proofErr w:type="spellStart"/>
      <w:r w:rsidRPr="00B44120">
        <w:rPr>
          <w:rFonts w:ascii="Helvetica" w:eastAsia="Times New Roman" w:hAnsi="Helvetica" w:cs="Times New Roman"/>
          <w:sz w:val="22"/>
          <w:lang w:eastAsia="en-GB"/>
        </w:rPr>
        <w:t>EoL</w:t>
      </w:r>
      <w:proofErr w:type="spellEnd"/>
      <w:r w:rsidRPr="00B44120">
        <w:rPr>
          <w:rFonts w:ascii="Helvetica" w:eastAsia="Times New Roman" w:hAnsi="Helvetica" w:cs="Times New Roman"/>
          <w:sz w:val="22"/>
          <w:lang w:eastAsia="en-GB"/>
        </w:rPr>
        <w:t xml:space="preserve"> options for WT blades. </w:t>
      </w:r>
      <w:r w:rsidR="00D70911">
        <w:rPr>
          <w:rFonts w:ascii="Helvetica" w:eastAsia="Times New Roman" w:hAnsi="Helvetica" w:cs="Times New Roman"/>
          <w:sz w:val="22"/>
          <w:lang w:eastAsia="en-GB"/>
        </w:rPr>
        <w:t>The most environmentally favourable process is dependent on the materials used for the blades (</w:t>
      </w:r>
      <w:r w:rsidR="00D964B9">
        <w:rPr>
          <w:rFonts w:ascii="Helvetica" w:eastAsia="Times New Roman" w:hAnsi="Helvetica" w:cs="Times New Roman"/>
          <w:sz w:val="22"/>
          <w:lang w:eastAsia="en-GB"/>
        </w:rPr>
        <w:t>GF or CF</w:t>
      </w:r>
      <w:r w:rsidR="00D70911">
        <w:rPr>
          <w:rFonts w:ascii="Helvetica" w:eastAsia="Times New Roman" w:hAnsi="Helvetica" w:cs="Times New Roman"/>
          <w:sz w:val="22"/>
          <w:lang w:eastAsia="en-GB"/>
        </w:rPr>
        <w:t xml:space="preserve">). The extent to which process improvement might affect the viability of different </w:t>
      </w:r>
      <w:proofErr w:type="spellStart"/>
      <w:r w:rsidR="00D70911">
        <w:rPr>
          <w:rFonts w:ascii="Helvetica" w:eastAsia="Times New Roman" w:hAnsi="Helvetica" w:cs="Times New Roman"/>
          <w:sz w:val="22"/>
          <w:lang w:eastAsia="en-GB"/>
        </w:rPr>
        <w:t>EoL</w:t>
      </w:r>
      <w:proofErr w:type="spellEnd"/>
      <w:r w:rsidR="00D70911">
        <w:rPr>
          <w:rFonts w:ascii="Helvetica" w:eastAsia="Times New Roman" w:hAnsi="Helvetica" w:cs="Times New Roman"/>
          <w:sz w:val="22"/>
          <w:lang w:eastAsia="en-GB"/>
        </w:rPr>
        <w:t xml:space="preserve"> processes has been assessed by looking at ‘crossover’ points when </w:t>
      </w:r>
      <w:r w:rsidR="00314FFC">
        <w:rPr>
          <w:rFonts w:ascii="Helvetica" w:eastAsia="Times New Roman" w:hAnsi="Helvetica" w:cs="Times New Roman"/>
          <w:sz w:val="22"/>
          <w:lang w:eastAsia="en-GB"/>
        </w:rPr>
        <w:t xml:space="preserve">the environmental impact becomes favourable. This analysis provides guidance on promising research areas, indicating where significant </w:t>
      </w:r>
      <w:proofErr w:type="spellStart"/>
      <w:r w:rsidR="00314FFC">
        <w:rPr>
          <w:rFonts w:ascii="Helvetica" w:eastAsia="Times New Roman" w:hAnsi="Helvetica" w:cs="Times New Roman"/>
          <w:sz w:val="22"/>
          <w:lang w:eastAsia="en-GB"/>
        </w:rPr>
        <w:t>EoL</w:t>
      </w:r>
      <w:proofErr w:type="spellEnd"/>
      <w:r w:rsidR="00314FFC">
        <w:rPr>
          <w:rFonts w:ascii="Helvetica" w:eastAsia="Times New Roman" w:hAnsi="Helvetica" w:cs="Times New Roman"/>
          <w:sz w:val="22"/>
          <w:lang w:eastAsia="en-GB"/>
        </w:rPr>
        <w:t xml:space="preserve"> environmental benefits could derive from process improvements. E</w:t>
      </w:r>
      <w:r w:rsidRPr="00B44120">
        <w:rPr>
          <w:rFonts w:ascii="Helvetica" w:eastAsia="Times New Roman" w:hAnsi="Helvetica" w:cs="Times New Roman"/>
          <w:sz w:val="22"/>
          <w:lang w:eastAsia="en-GB"/>
        </w:rPr>
        <w:t xml:space="preserve">nvironmental impact is only one aspect of the WT blade end-of-life problem. </w:t>
      </w:r>
      <w:r w:rsidR="00226A39">
        <w:rPr>
          <w:rFonts w:ascii="Helvetica" w:eastAsia="Times New Roman" w:hAnsi="Helvetica" w:cs="Times New Roman"/>
          <w:sz w:val="22"/>
          <w:lang w:eastAsia="en-GB"/>
        </w:rPr>
        <w:t>I</w:t>
      </w:r>
      <w:r w:rsidRPr="00B44120">
        <w:rPr>
          <w:rFonts w:ascii="Helvetica" w:eastAsia="Times New Roman" w:hAnsi="Helvetica" w:cs="Times New Roman"/>
          <w:sz w:val="22"/>
          <w:lang w:eastAsia="en-GB"/>
        </w:rPr>
        <w:t xml:space="preserve">n the actual implementation of waste processing, many </w:t>
      </w:r>
      <w:r w:rsidR="00226A39">
        <w:rPr>
          <w:rFonts w:ascii="Helvetica" w:eastAsia="Times New Roman" w:hAnsi="Helvetica" w:cs="Times New Roman"/>
          <w:sz w:val="22"/>
          <w:lang w:eastAsia="en-GB"/>
        </w:rPr>
        <w:t xml:space="preserve">additional </w:t>
      </w:r>
      <w:r w:rsidRPr="00B44120">
        <w:rPr>
          <w:rFonts w:ascii="Helvetica" w:eastAsia="Times New Roman" w:hAnsi="Helvetica" w:cs="Times New Roman"/>
          <w:sz w:val="22"/>
          <w:lang w:eastAsia="en-GB"/>
        </w:rPr>
        <w:t xml:space="preserve">issues need to be considered, such as </w:t>
      </w:r>
      <w:r w:rsidRPr="00B44120">
        <w:rPr>
          <w:rFonts w:ascii="Helvetica" w:eastAsia="Times New Roman" w:hAnsi="Helvetica" w:cs="Times New Roman"/>
          <w:sz w:val="22"/>
          <w:lang w:eastAsia="en-GB"/>
        </w:rPr>
        <w:lastRenderedPageBreak/>
        <w:t xml:space="preserve">the recycling cost, differences between regions, technology readiness levels, the state of </w:t>
      </w:r>
      <w:r w:rsidR="00314FFC">
        <w:rPr>
          <w:rFonts w:ascii="Helvetica" w:eastAsia="Times New Roman" w:hAnsi="Helvetica" w:cs="Times New Roman"/>
          <w:sz w:val="22"/>
          <w:lang w:eastAsia="en-GB"/>
        </w:rPr>
        <w:t xml:space="preserve">the </w:t>
      </w:r>
      <w:r w:rsidRPr="00B44120">
        <w:rPr>
          <w:rFonts w:ascii="Helvetica" w:eastAsia="Times New Roman" w:hAnsi="Helvetica" w:cs="Times New Roman"/>
          <w:sz w:val="22"/>
          <w:lang w:eastAsia="en-GB"/>
        </w:rPr>
        <w:t>market, and policy</w:t>
      </w:r>
      <w:r w:rsidR="00242574">
        <w:rPr>
          <w:rFonts w:ascii="Helvetica" w:eastAsia="Times New Roman" w:hAnsi="Helvetica" w:cs="Times New Roman"/>
          <w:sz w:val="22"/>
          <w:lang w:eastAsia="en-GB"/>
        </w:rPr>
        <w:t>.</w:t>
      </w:r>
      <w:r w:rsidR="00242574" w:rsidRPr="007A20F0">
        <w:rPr>
          <w:rFonts w:ascii="Helvetica" w:eastAsia="Times New Roman" w:hAnsi="Helvetica" w:cs="Times New Roman"/>
          <w:sz w:val="22"/>
        </w:rPr>
        <w:t xml:space="preserve"> </w:t>
      </w:r>
      <w:r w:rsidR="00314FFC">
        <w:rPr>
          <w:rFonts w:ascii="Helvetica" w:eastAsia="Times New Roman" w:hAnsi="Helvetica" w:cs="Times New Roman"/>
          <w:sz w:val="22"/>
        </w:rPr>
        <w:t>Nevertheless</w:t>
      </w:r>
      <w:r w:rsidR="00226A39">
        <w:rPr>
          <w:rFonts w:ascii="Helvetica" w:eastAsia="Times New Roman" w:hAnsi="Helvetica" w:cs="Times New Roman"/>
          <w:sz w:val="22"/>
        </w:rPr>
        <w:t>,</w:t>
      </w:r>
      <w:r w:rsidR="00A97A2A">
        <w:rPr>
          <w:rFonts w:ascii="Helvetica" w:eastAsia="Times New Roman" w:hAnsi="Helvetica" w:cs="Times New Roman"/>
          <w:sz w:val="22"/>
        </w:rPr>
        <w:t xml:space="preserve"> </w:t>
      </w:r>
      <w:r w:rsidR="00A4468A">
        <w:rPr>
          <w:rFonts w:ascii="Helvetica" w:eastAsia="Times New Roman" w:hAnsi="Helvetica" w:cs="Times New Roman"/>
          <w:sz w:val="22"/>
        </w:rPr>
        <w:t>increase</w:t>
      </w:r>
      <w:r w:rsidR="00A97A2A">
        <w:rPr>
          <w:rFonts w:ascii="Helvetica" w:eastAsia="Times New Roman" w:hAnsi="Helvetica" w:cs="Times New Roman"/>
          <w:sz w:val="22"/>
        </w:rPr>
        <w:t>d</w:t>
      </w:r>
      <w:r w:rsidR="00A4468A">
        <w:rPr>
          <w:rFonts w:ascii="Helvetica" w:eastAsia="Times New Roman" w:hAnsi="Helvetica" w:cs="Times New Roman"/>
          <w:sz w:val="22"/>
        </w:rPr>
        <w:t xml:space="preserve"> </w:t>
      </w:r>
      <w:r w:rsidR="00356496">
        <w:rPr>
          <w:rFonts w:ascii="Helvetica" w:eastAsia="Times New Roman" w:hAnsi="Helvetica" w:cs="Times New Roman"/>
          <w:sz w:val="22"/>
        </w:rPr>
        <w:t xml:space="preserve">global </w:t>
      </w:r>
      <w:r w:rsidR="00A4468A">
        <w:rPr>
          <w:rFonts w:ascii="Helvetica" w:eastAsia="Times New Roman" w:hAnsi="Helvetica" w:cs="Times New Roman"/>
          <w:sz w:val="22"/>
        </w:rPr>
        <w:t xml:space="preserve">awareness of environmental matters means that </w:t>
      </w:r>
      <w:r w:rsidR="00A97A2A">
        <w:rPr>
          <w:rFonts w:ascii="Helvetica" w:eastAsia="Times New Roman" w:hAnsi="Helvetica" w:cs="Times New Roman"/>
          <w:sz w:val="22"/>
        </w:rPr>
        <w:t>this will increasingly feature</w:t>
      </w:r>
      <w:r w:rsidR="00356496">
        <w:rPr>
          <w:rFonts w:ascii="Helvetica" w:eastAsia="Times New Roman" w:hAnsi="Helvetica" w:cs="Times New Roman"/>
          <w:sz w:val="22"/>
        </w:rPr>
        <w:t xml:space="preserve"> in</w:t>
      </w:r>
      <w:r w:rsidR="00A97A2A">
        <w:rPr>
          <w:rFonts w:ascii="Helvetica" w:eastAsia="Times New Roman" w:hAnsi="Helvetica" w:cs="Times New Roman"/>
          <w:sz w:val="22"/>
        </w:rPr>
        <w:t xml:space="preserve"> </w:t>
      </w:r>
      <w:r w:rsidR="00356496">
        <w:rPr>
          <w:rFonts w:ascii="Helvetica" w:eastAsia="Times New Roman" w:hAnsi="Helvetica" w:cs="Times New Roman"/>
          <w:sz w:val="22"/>
        </w:rPr>
        <w:t xml:space="preserve">the choice of </w:t>
      </w:r>
      <w:r w:rsidR="00A97A2A">
        <w:rPr>
          <w:rFonts w:ascii="Helvetica" w:eastAsia="Times New Roman" w:hAnsi="Helvetica" w:cs="Times New Roman"/>
          <w:sz w:val="22"/>
        </w:rPr>
        <w:t xml:space="preserve">appropriate </w:t>
      </w:r>
      <w:proofErr w:type="spellStart"/>
      <w:r w:rsidR="00A97A2A">
        <w:rPr>
          <w:rFonts w:ascii="Helvetica" w:eastAsia="Times New Roman" w:hAnsi="Helvetica" w:cs="Times New Roman"/>
          <w:sz w:val="22"/>
        </w:rPr>
        <w:t>EoL</w:t>
      </w:r>
      <w:proofErr w:type="spellEnd"/>
      <w:r w:rsidR="00A97A2A">
        <w:rPr>
          <w:rFonts w:ascii="Helvetica" w:eastAsia="Times New Roman" w:hAnsi="Helvetica" w:cs="Times New Roman"/>
          <w:sz w:val="22"/>
        </w:rPr>
        <w:t xml:space="preserve"> options</w:t>
      </w:r>
      <w:r w:rsidR="00356496">
        <w:rPr>
          <w:rFonts w:ascii="Helvetica" w:eastAsia="Times New Roman" w:hAnsi="Helvetica" w:cs="Times New Roman"/>
          <w:sz w:val="22"/>
        </w:rPr>
        <w:t xml:space="preserve"> for the growing volume of post-service wind turbine blades.</w:t>
      </w:r>
      <w:r w:rsidR="004843F2">
        <w:rPr>
          <w:rFonts w:ascii="Helvetica" w:eastAsia="Times New Roman" w:hAnsi="Helvetica" w:cs="Times New Roman"/>
          <w:sz w:val="22"/>
        </w:rPr>
        <w:t xml:space="preserve"> </w:t>
      </w:r>
      <w:r w:rsidR="004843F2" w:rsidRPr="004843F2">
        <w:rPr>
          <w:rFonts w:ascii="Helvetica" w:eastAsia="Times New Roman" w:hAnsi="Helvetica" w:cs="Times New Roman"/>
          <w:sz w:val="22"/>
        </w:rPr>
        <w:t xml:space="preserve">This </w:t>
      </w:r>
      <w:r w:rsidR="004843F2">
        <w:rPr>
          <w:rFonts w:ascii="Helvetica" w:eastAsia="Times New Roman" w:hAnsi="Helvetica" w:cs="Times New Roman"/>
          <w:sz w:val="22"/>
        </w:rPr>
        <w:t>study thus</w:t>
      </w:r>
      <w:r w:rsidR="004843F2" w:rsidRPr="004843F2">
        <w:rPr>
          <w:rFonts w:ascii="Helvetica" w:eastAsia="Times New Roman" w:hAnsi="Helvetica" w:cs="Times New Roman"/>
          <w:sz w:val="22"/>
        </w:rPr>
        <w:t xml:space="preserve"> plays a crucial role in identifying suitable waste management strategies to address the emerging waste burden of end-of-life wind turbine blades in terms of minimising the environmental impact and ultimately to formulate guidelines on this problem to aid industry and policy makers</w:t>
      </w:r>
      <w:r w:rsidR="004843F2">
        <w:rPr>
          <w:rFonts w:ascii="Helvetica" w:eastAsia="Times New Roman" w:hAnsi="Helvetica" w:cs="Times New Roman"/>
          <w:sz w:val="22"/>
        </w:rPr>
        <w:t>.</w:t>
      </w:r>
    </w:p>
    <w:p w14:paraId="0DCE624B" w14:textId="77777777" w:rsidR="00F06752" w:rsidRDefault="00F06752" w:rsidP="00F06752">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In summary, the optimal end-of-life treatments</w:t>
      </w:r>
      <w:r>
        <w:rPr>
          <w:rFonts w:ascii="Helvetica" w:eastAsia="Times New Roman" w:hAnsi="Helvetica" w:cs="Times New Roman"/>
          <w:sz w:val="22"/>
          <w:lang w:eastAsia="zh-CN"/>
        </w:rPr>
        <w:t xml:space="preserve"> for the three types of WT blades based on the </w:t>
      </w:r>
      <w:r w:rsidR="00A003CD">
        <w:rPr>
          <w:rFonts w:ascii="Helvetica" w:eastAsia="Times New Roman" w:hAnsi="Helvetica" w:cs="Times New Roman"/>
          <w:sz w:val="22"/>
          <w:lang w:eastAsia="zh-CN"/>
        </w:rPr>
        <w:t>net environmental i</w:t>
      </w:r>
      <w:r>
        <w:rPr>
          <w:rFonts w:ascii="Helvetica" w:eastAsia="Times New Roman" w:hAnsi="Helvetica" w:cs="Times New Roman"/>
          <w:sz w:val="22"/>
          <w:lang w:eastAsia="zh-CN"/>
        </w:rPr>
        <w:t>mpact</w:t>
      </w:r>
      <w:r w:rsidR="00A003CD">
        <w:rPr>
          <w:rFonts w:ascii="Helvetica" w:eastAsia="Times New Roman" w:hAnsi="Helvetica" w:cs="Times New Roman"/>
          <w:sz w:val="22"/>
          <w:lang w:eastAsia="zh-CN"/>
        </w:rPr>
        <w:t xml:space="preserve"> are as follows:</w:t>
      </w:r>
    </w:p>
    <w:p w14:paraId="419D95A9" w14:textId="6F3FC0D6" w:rsidR="00F06752" w:rsidRDefault="00F06752" w:rsidP="00F06752">
      <w:pPr>
        <w:pStyle w:val="ListParagraph"/>
        <w:numPr>
          <w:ilvl w:val="0"/>
          <w:numId w:val="9"/>
        </w:num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 xml:space="preserve">GF blade: mechanical for recycling at this moment, </w:t>
      </w:r>
      <w:r w:rsidR="00226A39">
        <w:rPr>
          <w:rFonts w:ascii="Helvetica" w:eastAsia="Times New Roman" w:hAnsi="Helvetica" w:cs="Times New Roman"/>
          <w:sz w:val="22"/>
          <w:lang w:eastAsia="en-GB"/>
        </w:rPr>
        <w:t xml:space="preserve">life extension </w:t>
      </w:r>
      <w:r>
        <w:rPr>
          <w:rFonts w:ascii="Helvetica" w:eastAsia="Times New Roman" w:hAnsi="Helvetica" w:cs="Times New Roman"/>
          <w:sz w:val="22"/>
          <w:lang w:eastAsia="en-GB"/>
        </w:rPr>
        <w:t>for non-processing; chemical for recycling in the future.</w:t>
      </w:r>
    </w:p>
    <w:p w14:paraId="558359FF" w14:textId="77777777" w:rsidR="00F06752" w:rsidRDefault="00F06752" w:rsidP="00F06752">
      <w:pPr>
        <w:pStyle w:val="ListParagraph"/>
        <w:numPr>
          <w:ilvl w:val="0"/>
          <w:numId w:val="9"/>
        </w:num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Hybrid blade: mechanical for recycling at this moment, chemical for recycling in the future.</w:t>
      </w:r>
    </w:p>
    <w:p w14:paraId="2B20712B" w14:textId="77777777" w:rsidR="00F06752" w:rsidRDefault="00F06752" w:rsidP="00F06752">
      <w:pPr>
        <w:pStyle w:val="ListParagraph"/>
        <w:numPr>
          <w:ilvl w:val="0"/>
          <w:numId w:val="9"/>
        </w:num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CF blade: fluidised bed for recycling at this moment, chemical for recycling in the future.</w:t>
      </w:r>
    </w:p>
    <w:p w14:paraId="16A236D2" w14:textId="77777777" w:rsidR="00F628FB" w:rsidRPr="0017720F" w:rsidRDefault="00F628FB" w:rsidP="00B27DC5">
      <w:pPr>
        <w:pStyle w:val="Heading1"/>
        <w:numPr>
          <w:ilvl w:val="0"/>
          <w:numId w:val="0"/>
        </w:numPr>
        <w:ind w:left="432" w:hanging="432"/>
        <w:rPr>
          <w:lang w:eastAsia="en-GB"/>
        </w:rPr>
      </w:pPr>
      <w:r w:rsidRPr="00F628FB">
        <w:rPr>
          <w:lang w:eastAsia="en-GB"/>
        </w:rPr>
        <w:t>Notes</w:t>
      </w:r>
    </w:p>
    <w:p w14:paraId="681DD29B" w14:textId="7BD5BEFC" w:rsidR="00F628FB" w:rsidRPr="00F628FB" w:rsidRDefault="00950644" w:rsidP="00F628FB">
      <w:pPr>
        <w:tabs>
          <w:tab w:val="left" w:pos="851"/>
        </w:tabs>
        <w:spacing w:before="120" w:line="360" w:lineRule="auto"/>
        <w:rPr>
          <w:rFonts w:ascii="Helvetica" w:eastAsia="Times New Roman" w:hAnsi="Helvetica" w:cs="Times New Roman"/>
          <w:sz w:val="22"/>
          <w:lang w:eastAsia="en-GB"/>
        </w:rPr>
      </w:pPr>
      <w:r>
        <w:rPr>
          <w:rFonts w:ascii="Helvetica" w:eastAsia="Times New Roman" w:hAnsi="Helvetica" w:cs="Times New Roman"/>
          <w:sz w:val="22"/>
          <w:lang w:eastAsia="en-GB"/>
        </w:rPr>
        <w:t>Declarations of interest: none</w:t>
      </w:r>
      <w:r w:rsidR="00F628FB" w:rsidRPr="00F628FB">
        <w:rPr>
          <w:rFonts w:ascii="Helvetica" w:eastAsia="Times New Roman" w:hAnsi="Helvetica" w:cs="Times New Roman"/>
          <w:sz w:val="22"/>
          <w:lang w:eastAsia="en-GB"/>
        </w:rPr>
        <w:t>.</w:t>
      </w:r>
    </w:p>
    <w:p w14:paraId="5B25669D" w14:textId="14E3416D" w:rsidR="00F628FB" w:rsidRDefault="00F628FB" w:rsidP="0017720F">
      <w:pPr>
        <w:pStyle w:val="Heading1"/>
        <w:numPr>
          <w:ilvl w:val="0"/>
          <w:numId w:val="0"/>
        </w:numPr>
        <w:ind w:left="432" w:hanging="432"/>
        <w:rPr>
          <w:lang w:eastAsia="en-GB"/>
        </w:rPr>
      </w:pPr>
      <w:r w:rsidRPr="00F628FB">
        <w:rPr>
          <w:lang w:eastAsia="en-GB"/>
        </w:rPr>
        <w:t>Acknowledgement</w:t>
      </w:r>
      <w:r w:rsidR="00C112E0">
        <w:rPr>
          <w:lang w:eastAsia="en-GB"/>
        </w:rPr>
        <w:t>s</w:t>
      </w:r>
    </w:p>
    <w:p w14:paraId="44DE7ADD" w14:textId="77777777" w:rsidR="00B62B3F" w:rsidRPr="00B62B3F" w:rsidRDefault="00B62B3F" w:rsidP="00B62B3F">
      <w:pPr>
        <w:spacing w:line="360" w:lineRule="auto"/>
        <w:rPr>
          <w:rFonts w:ascii="Helvetica" w:eastAsia="Times New Roman" w:hAnsi="Helvetica" w:cs="Times New Roman"/>
          <w:sz w:val="22"/>
          <w:lang w:eastAsia="en-GB"/>
        </w:rPr>
      </w:pPr>
      <w:r w:rsidRPr="00B62B3F">
        <w:rPr>
          <w:rFonts w:ascii="Helvetica" w:eastAsia="Times New Roman" w:hAnsi="Helvetica" w:cs="Times New Roman"/>
          <w:sz w:val="22"/>
          <w:lang w:eastAsia="en-GB"/>
        </w:rPr>
        <w:t>The authors would like to thank the Industrial Sustainability Research Group at the University of Cambridge and the industrial cooperation partners for advice and support. This work was supported, in part, by China Scholarship Council (CSC). The authors are also grateful to Jesus College, Cambridge for financial support.</w:t>
      </w:r>
    </w:p>
    <w:p w14:paraId="261C445B" w14:textId="77777777" w:rsidR="005F3D6F" w:rsidRDefault="005F3D6F" w:rsidP="005F3D6F">
      <w:pPr>
        <w:pStyle w:val="Heading1"/>
        <w:numPr>
          <w:ilvl w:val="0"/>
          <w:numId w:val="0"/>
        </w:numPr>
        <w:ind w:left="432" w:hanging="432"/>
        <w:rPr>
          <w:lang w:eastAsia="en-GB"/>
        </w:rPr>
      </w:pPr>
      <w:r>
        <w:rPr>
          <w:lang w:eastAsia="en-GB"/>
        </w:rPr>
        <w:t>Nomenclature</w:t>
      </w:r>
    </w:p>
    <w:p w14:paraId="25772942" w14:textId="77777777" w:rsidR="00F628FB" w:rsidRDefault="00F628FB" w:rsidP="0017720F">
      <w:pPr>
        <w:jc w:val="left"/>
        <w:rPr>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505"/>
        <w:gridCol w:w="4505"/>
      </w:tblGrid>
      <w:tr w:rsidR="005F3D6F" w:rsidRPr="002D141D" w14:paraId="74DEEB68" w14:textId="77777777">
        <w:trPr>
          <w:cnfStyle w:val="100000000000" w:firstRow="1" w:lastRow="0" w:firstColumn="0" w:lastColumn="0" w:oddVBand="0" w:evenVBand="0" w:oddHBand="0" w:evenHBand="0" w:firstRowFirstColumn="0" w:firstRowLastColumn="0" w:lastRowFirstColumn="0" w:lastRowLastColumn="0"/>
        </w:trPr>
        <w:tc>
          <w:tcPr>
            <w:tcW w:w="4505" w:type="dxa"/>
          </w:tcPr>
          <w:p w14:paraId="6776866A" w14:textId="77777777" w:rsidR="005F3D6F" w:rsidRPr="00FF14B7" w:rsidRDefault="005F3D6F" w:rsidP="0017720F">
            <w:pPr>
              <w:jc w:val="left"/>
              <w:rPr>
                <w:rFonts w:ascii="Cambria" w:hAnsi="Cambria"/>
                <w:b w:val="0"/>
                <w:sz w:val="22"/>
                <w:szCs w:val="22"/>
              </w:rPr>
            </w:pPr>
            <w:r w:rsidRPr="00FF14B7">
              <w:rPr>
                <w:rFonts w:ascii="Cambria" w:hAnsi="Cambria"/>
                <w:b w:val="0"/>
                <w:sz w:val="22"/>
                <w:szCs w:val="22"/>
              </w:rPr>
              <w:t>GF</w:t>
            </w:r>
          </w:p>
        </w:tc>
        <w:tc>
          <w:tcPr>
            <w:tcW w:w="4505" w:type="dxa"/>
          </w:tcPr>
          <w:p w14:paraId="490F8E9D" w14:textId="77777777" w:rsidR="005F3D6F" w:rsidRPr="00FF14B7" w:rsidRDefault="005F3D6F" w:rsidP="0017720F">
            <w:pPr>
              <w:jc w:val="left"/>
              <w:rPr>
                <w:rFonts w:ascii="Cambria" w:hAnsi="Cambria"/>
                <w:b w:val="0"/>
                <w:sz w:val="22"/>
                <w:szCs w:val="22"/>
              </w:rPr>
            </w:pPr>
            <w:r w:rsidRPr="00FF14B7">
              <w:rPr>
                <w:rFonts w:ascii="Cambria" w:hAnsi="Cambria"/>
                <w:b w:val="0"/>
                <w:sz w:val="22"/>
                <w:szCs w:val="22"/>
              </w:rPr>
              <w:t>Glass fibre</w:t>
            </w:r>
          </w:p>
        </w:tc>
      </w:tr>
      <w:tr w:rsidR="005F3D6F" w:rsidRPr="002D141D" w14:paraId="516DFED2" w14:textId="77777777">
        <w:tc>
          <w:tcPr>
            <w:tcW w:w="4505" w:type="dxa"/>
          </w:tcPr>
          <w:p w14:paraId="26F9F4D6" w14:textId="77777777" w:rsidR="005F3D6F" w:rsidRPr="002D141D" w:rsidRDefault="005F3D6F" w:rsidP="0017720F">
            <w:pPr>
              <w:jc w:val="left"/>
              <w:rPr>
                <w:sz w:val="22"/>
                <w:szCs w:val="22"/>
              </w:rPr>
            </w:pPr>
            <w:r w:rsidRPr="002D141D">
              <w:rPr>
                <w:sz w:val="22"/>
                <w:szCs w:val="22"/>
              </w:rPr>
              <w:t>CF</w:t>
            </w:r>
          </w:p>
        </w:tc>
        <w:tc>
          <w:tcPr>
            <w:tcW w:w="4505" w:type="dxa"/>
          </w:tcPr>
          <w:p w14:paraId="5E32798D" w14:textId="77777777" w:rsidR="005F3D6F" w:rsidRPr="002D141D" w:rsidRDefault="005F3D6F" w:rsidP="0017720F">
            <w:pPr>
              <w:jc w:val="left"/>
              <w:rPr>
                <w:sz w:val="22"/>
                <w:szCs w:val="22"/>
              </w:rPr>
            </w:pPr>
            <w:r w:rsidRPr="002D141D">
              <w:rPr>
                <w:sz w:val="22"/>
                <w:szCs w:val="22"/>
              </w:rPr>
              <w:t>Carbon fibre</w:t>
            </w:r>
          </w:p>
        </w:tc>
      </w:tr>
      <w:tr w:rsidR="005F3D6F" w:rsidRPr="002D141D" w14:paraId="77C923DB" w14:textId="77777777">
        <w:tc>
          <w:tcPr>
            <w:tcW w:w="4505" w:type="dxa"/>
          </w:tcPr>
          <w:p w14:paraId="03D5AE03" w14:textId="77777777" w:rsidR="005F3D6F" w:rsidRPr="002D141D" w:rsidRDefault="005F3D6F" w:rsidP="0017720F">
            <w:pPr>
              <w:jc w:val="left"/>
              <w:rPr>
                <w:sz w:val="22"/>
                <w:szCs w:val="22"/>
              </w:rPr>
            </w:pPr>
            <w:r w:rsidRPr="002D141D">
              <w:rPr>
                <w:sz w:val="22"/>
                <w:szCs w:val="22"/>
              </w:rPr>
              <w:t>GFRP</w:t>
            </w:r>
          </w:p>
        </w:tc>
        <w:tc>
          <w:tcPr>
            <w:tcW w:w="4505" w:type="dxa"/>
          </w:tcPr>
          <w:p w14:paraId="378155E6" w14:textId="77777777" w:rsidR="005F3D6F" w:rsidRPr="002D141D" w:rsidRDefault="005F3D6F" w:rsidP="0017720F">
            <w:pPr>
              <w:jc w:val="left"/>
              <w:rPr>
                <w:sz w:val="22"/>
                <w:szCs w:val="22"/>
              </w:rPr>
            </w:pPr>
            <w:r w:rsidRPr="002D141D">
              <w:rPr>
                <w:sz w:val="22"/>
                <w:szCs w:val="22"/>
              </w:rPr>
              <w:t>Glass fibre reinforced plastic</w:t>
            </w:r>
          </w:p>
        </w:tc>
      </w:tr>
      <w:tr w:rsidR="005F3D6F" w:rsidRPr="002D141D" w14:paraId="21E45850" w14:textId="77777777">
        <w:tc>
          <w:tcPr>
            <w:tcW w:w="4505" w:type="dxa"/>
          </w:tcPr>
          <w:p w14:paraId="7A717773" w14:textId="77777777" w:rsidR="005F3D6F" w:rsidRPr="002D141D" w:rsidRDefault="005F3D6F" w:rsidP="005F3D6F">
            <w:pPr>
              <w:jc w:val="left"/>
              <w:rPr>
                <w:sz w:val="22"/>
                <w:szCs w:val="22"/>
              </w:rPr>
            </w:pPr>
            <w:r w:rsidRPr="002D141D">
              <w:rPr>
                <w:sz w:val="22"/>
                <w:szCs w:val="22"/>
              </w:rPr>
              <w:t>CFRP</w:t>
            </w:r>
          </w:p>
        </w:tc>
        <w:tc>
          <w:tcPr>
            <w:tcW w:w="4505" w:type="dxa"/>
          </w:tcPr>
          <w:p w14:paraId="6E007062" w14:textId="77777777" w:rsidR="005F3D6F" w:rsidRPr="002D141D" w:rsidRDefault="005F3D6F" w:rsidP="005F3D6F">
            <w:pPr>
              <w:jc w:val="left"/>
              <w:rPr>
                <w:sz w:val="22"/>
                <w:szCs w:val="22"/>
              </w:rPr>
            </w:pPr>
            <w:r w:rsidRPr="002D141D">
              <w:rPr>
                <w:sz w:val="22"/>
                <w:szCs w:val="22"/>
              </w:rPr>
              <w:t>Carbon fibre reinforced plastic</w:t>
            </w:r>
          </w:p>
        </w:tc>
      </w:tr>
      <w:tr w:rsidR="005F3D6F" w:rsidRPr="002D141D" w14:paraId="2DBD203D" w14:textId="77777777">
        <w:tc>
          <w:tcPr>
            <w:tcW w:w="4505" w:type="dxa"/>
          </w:tcPr>
          <w:p w14:paraId="501CC084" w14:textId="77777777" w:rsidR="005F3D6F" w:rsidRPr="002D141D" w:rsidRDefault="005F3D6F" w:rsidP="005F3D6F">
            <w:pPr>
              <w:jc w:val="left"/>
              <w:rPr>
                <w:sz w:val="22"/>
                <w:szCs w:val="22"/>
              </w:rPr>
            </w:pPr>
            <w:r w:rsidRPr="002D141D">
              <w:rPr>
                <w:sz w:val="22"/>
                <w:szCs w:val="22"/>
              </w:rPr>
              <w:t>WT</w:t>
            </w:r>
          </w:p>
        </w:tc>
        <w:tc>
          <w:tcPr>
            <w:tcW w:w="4505" w:type="dxa"/>
          </w:tcPr>
          <w:p w14:paraId="7A125E6B" w14:textId="16D47E1C" w:rsidR="005F3D6F" w:rsidRPr="002D141D" w:rsidRDefault="005F3D6F" w:rsidP="005F3D6F">
            <w:pPr>
              <w:jc w:val="left"/>
              <w:rPr>
                <w:sz w:val="22"/>
                <w:szCs w:val="22"/>
              </w:rPr>
            </w:pPr>
            <w:r w:rsidRPr="002D141D">
              <w:rPr>
                <w:sz w:val="22"/>
                <w:szCs w:val="22"/>
              </w:rPr>
              <w:t>Wind turbin</w:t>
            </w:r>
            <w:r w:rsidR="00226A39">
              <w:rPr>
                <w:sz w:val="22"/>
                <w:szCs w:val="22"/>
              </w:rPr>
              <w:t>e</w:t>
            </w:r>
          </w:p>
        </w:tc>
      </w:tr>
      <w:tr w:rsidR="005F3D6F" w:rsidRPr="002D141D" w14:paraId="198F60B8" w14:textId="77777777">
        <w:tc>
          <w:tcPr>
            <w:tcW w:w="4505" w:type="dxa"/>
          </w:tcPr>
          <w:p w14:paraId="4B8A9741" w14:textId="77777777" w:rsidR="005F3D6F" w:rsidRPr="002D141D" w:rsidRDefault="005F3D6F" w:rsidP="005F3D6F">
            <w:pPr>
              <w:jc w:val="left"/>
              <w:rPr>
                <w:sz w:val="22"/>
                <w:szCs w:val="22"/>
              </w:rPr>
            </w:pPr>
            <w:proofErr w:type="spellStart"/>
            <w:r w:rsidRPr="002D141D">
              <w:rPr>
                <w:sz w:val="22"/>
                <w:szCs w:val="22"/>
              </w:rPr>
              <w:t>EoL</w:t>
            </w:r>
            <w:proofErr w:type="spellEnd"/>
          </w:p>
        </w:tc>
        <w:tc>
          <w:tcPr>
            <w:tcW w:w="4505" w:type="dxa"/>
          </w:tcPr>
          <w:p w14:paraId="1ED98350" w14:textId="77777777" w:rsidR="005F3D6F" w:rsidRPr="002D141D" w:rsidRDefault="005F3D6F" w:rsidP="005F3D6F">
            <w:pPr>
              <w:jc w:val="left"/>
              <w:rPr>
                <w:sz w:val="22"/>
                <w:szCs w:val="22"/>
              </w:rPr>
            </w:pPr>
            <w:r w:rsidRPr="002D141D">
              <w:rPr>
                <w:sz w:val="22"/>
                <w:szCs w:val="22"/>
              </w:rPr>
              <w:t>End of life</w:t>
            </w:r>
          </w:p>
        </w:tc>
      </w:tr>
      <w:tr w:rsidR="005F3D6F" w:rsidRPr="002D141D" w14:paraId="08C4B56E" w14:textId="77777777">
        <w:tc>
          <w:tcPr>
            <w:tcW w:w="4505" w:type="dxa"/>
          </w:tcPr>
          <w:p w14:paraId="2C7E1F5A" w14:textId="77777777" w:rsidR="005F3D6F" w:rsidRPr="002D141D" w:rsidRDefault="002D141D" w:rsidP="005F3D6F">
            <w:pPr>
              <w:jc w:val="left"/>
              <w:rPr>
                <w:sz w:val="22"/>
                <w:szCs w:val="22"/>
              </w:rPr>
            </w:pPr>
            <w:r w:rsidRPr="002D141D">
              <w:rPr>
                <w:sz w:val="22"/>
                <w:szCs w:val="22"/>
              </w:rPr>
              <w:t>O&amp;M</w:t>
            </w:r>
          </w:p>
        </w:tc>
        <w:tc>
          <w:tcPr>
            <w:tcW w:w="4505" w:type="dxa"/>
          </w:tcPr>
          <w:p w14:paraId="7D85957C" w14:textId="77777777" w:rsidR="005F3D6F" w:rsidRPr="002D141D" w:rsidRDefault="002D141D" w:rsidP="005F3D6F">
            <w:pPr>
              <w:jc w:val="left"/>
              <w:rPr>
                <w:sz w:val="22"/>
                <w:szCs w:val="22"/>
              </w:rPr>
            </w:pPr>
            <w:r w:rsidRPr="002D141D">
              <w:rPr>
                <w:sz w:val="22"/>
                <w:szCs w:val="22"/>
              </w:rPr>
              <w:t>Operation and maintenance</w:t>
            </w:r>
          </w:p>
        </w:tc>
      </w:tr>
      <w:tr w:rsidR="005F3D6F" w:rsidRPr="002D141D" w14:paraId="42DF58C5" w14:textId="77777777">
        <w:tc>
          <w:tcPr>
            <w:tcW w:w="4505" w:type="dxa"/>
          </w:tcPr>
          <w:p w14:paraId="7D70E857" w14:textId="77777777" w:rsidR="005F3D6F" w:rsidRPr="002D141D" w:rsidRDefault="002D141D" w:rsidP="005F3D6F">
            <w:pPr>
              <w:jc w:val="left"/>
              <w:rPr>
                <w:sz w:val="22"/>
                <w:szCs w:val="22"/>
              </w:rPr>
            </w:pPr>
            <w:r w:rsidRPr="002D141D">
              <w:rPr>
                <w:sz w:val="22"/>
                <w:szCs w:val="22"/>
              </w:rPr>
              <w:t>MAP</w:t>
            </w:r>
          </w:p>
        </w:tc>
        <w:tc>
          <w:tcPr>
            <w:tcW w:w="4505" w:type="dxa"/>
          </w:tcPr>
          <w:p w14:paraId="6F8E5853" w14:textId="520CC374" w:rsidR="005F3D6F" w:rsidRPr="002D141D" w:rsidRDefault="00226A39" w:rsidP="002D141D">
            <w:pPr>
              <w:jc w:val="left"/>
              <w:rPr>
                <w:sz w:val="22"/>
                <w:szCs w:val="22"/>
              </w:rPr>
            </w:pPr>
            <w:r>
              <w:rPr>
                <w:sz w:val="22"/>
                <w:szCs w:val="22"/>
              </w:rPr>
              <w:t>M</w:t>
            </w:r>
            <w:r w:rsidR="002D141D" w:rsidRPr="002D141D">
              <w:rPr>
                <w:sz w:val="22"/>
                <w:szCs w:val="22"/>
              </w:rPr>
              <w:t>icrowave assisted pyrolysis</w:t>
            </w:r>
          </w:p>
        </w:tc>
      </w:tr>
      <w:tr w:rsidR="002D141D" w:rsidRPr="002D141D" w14:paraId="35579D18" w14:textId="77777777">
        <w:tc>
          <w:tcPr>
            <w:tcW w:w="4505" w:type="dxa"/>
          </w:tcPr>
          <w:p w14:paraId="0D5D57B5" w14:textId="77777777" w:rsidR="002D141D" w:rsidRPr="002D141D" w:rsidRDefault="002D141D" w:rsidP="005F3D6F">
            <w:pPr>
              <w:jc w:val="left"/>
              <w:rPr>
                <w:sz w:val="22"/>
                <w:szCs w:val="22"/>
              </w:rPr>
            </w:pPr>
            <w:r w:rsidRPr="002D141D">
              <w:rPr>
                <w:sz w:val="22"/>
                <w:szCs w:val="22"/>
              </w:rPr>
              <w:t>HVF</w:t>
            </w:r>
          </w:p>
        </w:tc>
        <w:tc>
          <w:tcPr>
            <w:tcW w:w="4505" w:type="dxa"/>
          </w:tcPr>
          <w:p w14:paraId="50FA81EF" w14:textId="77777777" w:rsidR="002D141D" w:rsidRPr="002D141D" w:rsidRDefault="002D141D" w:rsidP="002D141D">
            <w:pPr>
              <w:jc w:val="left"/>
              <w:rPr>
                <w:sz w:val="22"/>
                <w:szCs w:val="22"/>
              </w:rPr>
            </w:pPr>
            <w:r w:rsidRPr="002D141D">
              <w:rPr>
                <w:sz w:val="22"/>
                <w:szCs w:val="22"/>
              </w:rPr>
              <w:t>High voltage fragmentation</w:t>
            </w:r>
          </w:p>
        </w:tc>
      </w:tr>
      <w:tr w:rsidR="002D141D" w:rsidRPr="002D141D" w14:paraId="3B3F4BFD" w14:textId="77777777">
        <w:tc>
          <w:tcPr>
            <w:tcW w:w="4505" w:type="dxa"/>
          </w:tcPr>
          <w:p w14:paraId="7D327170" w14:textId="77777777" w:rsidR="002D141D" w:rsidRPr="002D141D" w:rsidRDefault="002D141D" w:rsidP="005F3D6F">
            <w:pPr>
              <w:jc w:val="left"/>
              <w:rPr>
                <w:sz w:val="22"/>
                <w:szCs w:val="22"/>
              </w:rPr>
            </w:pPr>
            <w:r w:rsidRPr="002D141D">
              <w:rPr>
                <w:sz w:val="22"/>
                <w:szCs w:val="22"/>
              </w:rPr>
              <w:t>LE</w:t>
            </w:r>
          </w:p>
        </w:tc>
        <w:tc>
          <w:tcPr>
            <w:tcW w:w="4505" w:type="dxa"/>
          </w:tcPr>
          <w:p w14:paraId="1336E015" w14:textId="77777777" w:rsidR="002D141D" w:rsidRPr="002D141D" w:rsidRDefault="002D141D" w:rsidP="005F3D6F">
            <w:pPr>
              <w:jc w:val="left"/>
              <w:rPr>
                <w:sz w:val="22"/>
                <w:szCs w:val="22"/>
              </w:rPr>
            </w:pPr>
            <w:r w:rsidRPr="002D141D">
              <w:rPr>
                <w:sz w:val="22"/>
                <w:szCs w:val="22"/>
              </w:rPr>
              <w:t>Life extension</w:t>
            </w:r>
          </w:p>
        </w:tc>
      </w:tr>
      <w:tr w:rsidR="002D141D" w:rsidRPr="002D141D" w14:paraId="77666439" w14:textId="77777777">
        <w:tc>
          <w:tcPr>
            <w:tcW w:w="4505" w:type="dxa"/>
          </w:tcPr>
          <w:p w14:paraId="0652F1E5" w14:textId="77777777" w:rsidR="002D141D" w:rsidRPr="002D141D" w:rsidRDefault="002D141D" w:rsidP="005F3D6F">
            <w:pPr>
              <w:jc w:val="left"/>
              <w:rPr>
                <w:sz w:val="22"/>
                <w:szCs w:val="22"/>
              </w:rPr>
            </w:pPr>
            <w:r w:rsidRPr="002D141D">
              <w:rPr>
                <w:sz w:val="22"/>
                <w:szCs w:val="22"/>
              </w:rPr>
              <w:t>LCA</w:t>
            </w:r>
          </w:p>
        </w:tc>
        <w:tc>
          <w:tcPr>
            <w:tcW w:w="4505" w:type="dxa"/>
          </w:tcPr>
          <w:p w14:paraId="37168E85" w14:textId="77777777" w:rsidR="002D141D" w:rsidRPr="002D141D" w:rsidRDefault="002D141D" w:rsidP="005F3D6F">
            <w:pPr>
              <w:jc w:val="left"/>
              <w:rPr>
                <w:sz w:val="22"/>
                <w:szCs w:val="22"/>
              </w:rPr>
            </w:pPr>
            <w:r w:rsidRPr="002D141D">
              <w:rPr>
                <w:sz w:val="22"/>
                <w:szCs w:val="22"/>
              </w:rPr>
              <w:t>Life cycle assessment</w:t>
            </w:r>
          </w:p>
        </w:tc>
      </w:tr>
    </w:tbl>
    <w:p w14:paraId="2E1FCBBB" w14:textId="77777777" w:rsidR="005F3D6F" w:rsidRPr="00F628FB" w:rsidRDefault="005F3D6F" w:rsidP="0017720F">
      <w:pPr>
        <w:jc w:val="left"/>
        <w:rPr>
          <w:lang w:eastAsia="en-GB"/>
        </w:rPr>
      </w:pPr>
    </w:p>
    <w:p w14:paraId="14D78380" w14:textId="77777777" w:rsidR="00F20503" w:rsidRDefault="00F20503" w:rsidP="00F20503">
      <w:pPr>
        <w:pStyle w:val="Heading1"/>
        <w:rPr>
          <w:lang w:eastAsia="en-GB"/>
        </w:rPr>
      </w:pPr>
      <w:r>
        <w:rPr>
          <w:lang w:eastAsia="en-GB"/>
        </w:rPr>
        <w:lastRenderedPageBreak/>
        <w:t>Reference</w:t>
      </w:r>
      <w:r w:rsidR="00A003CD">
        <w:rPr>
          <w:lang w:eastAsia="en-GB"/>
        </w:rPr>
        <w:t>s</w:t>
      </w:r>
    </w:p>
    <w:p w14:paraId="2ADC92AE" w14:textId="77777777" w:rsidR="0080066F" w:rsidRPr="0080066F" w:rsidRDefault="00107EB7" w:rsidP="0080066F">
      <w:pPr>
        <w:widowControl w:val="0"/>
        <w:autoSpaceDE w:val="0"/>
        <w:autoSpaceDN w:val="0"/>
        <w:adjustRightInd w:val="0"/>
        <w:ind w:left="480" w:hanging="480"/>
        <w:rPr>
          <w:rFonts w:ascii="Calibri" w:hAnsi="Calibri" w:cs="Times New Roman"/>
          <w:noProof/>
          <w:lang w:val="en-US"/>
        </w:rPr>
      </w:pPr>
      <w:r>
        <w:rPr>
          <w:lang w:eastAsia="en-GB"/>
        </w:rPr>
        <w:fldChar w:fldCharType="begin" w:fldLock="1"/>
      </w:r>
      <w:r w:rsidR="00F20503">
        <w:rPr>
          <w:lang w:eastAsia="en-GB"/>
        </w:rPr>
        <w:instrText xml:space="preserve">ADDIN Mendeley Bibliography CSL_BIBLIOGRAPHY </w:instrText>
      </w:r>
      <w:r>
        <w:rPr>
          <w:lang w:eastAsia="en-GB"/>
        </w:rPr>
        <w:fldChar w:fldCharType="separate"/>
      </w:r>
      <w:r w:rsidR="0080066F" w:rsidRPr="0080066F">
        <w:rPr>
          <w:rFonts w:ascii="Calibri" w:hAnsi="Calibri" w:cs="Times New Roman"/>
          <w:noProof/>
          <w:lang w:val="en-US"/>
        </w:rPr>
        <w:t>Andersen, P.D., Bonou, A., Beauson, J., Brønsted, P., 2014. Recycling of wind turbines, DTU International Energy Report 2014.</w:t>
      </w:r>
    </w:p>
    <w:p w14:paraId="6AF3D422"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Ashby, M., Coulter, P., Ball, N., Bream, C., 2009. The CES EduPack Eco Audit Tool - A White Paper.</w:t>
      </w:r>
    </w:p>
    <w:p w14:paraId="271DFBA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Ashby, M.F., 2009. Materials and the Environment</w:t>
      </w:r>
      <w:r w:rsidRPr="0080066F">
        <w:rPr>
          <w:rFonts w:ascii="Times New Roman" w:hAnsi="Times New Roman" w:cs="Times New Roman"/>
          <w:noProof/>
          <w:lang w:val="en-US"/>
        </w:rPr>
        <w:t> </w:t>
      </w:r>
      <w:r w:rsidRPr="0080066F">
        <w:rPr>
          <w:rFonts w:ascii="Calibri" w:hAnsi="Calibri" w:cs="Times New Roman"/>
          <w:noProof/>
          <w:lang w:val="en-US"/>
        </w:rPr>
        <w:t>: Eco-informed Material Choice. Butterworth-Heinemann, Burlington.</w:t>
      </w:r>
    </w:p>
    <w:p w14:paraId="444C5E08"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Bai, Y., Wang, Z., Feng, L., 2010. Chemical recycling of carbon fibers reinforced epoxy resin composites in oxygen in supercritical water. Mater. Des. 31, 999–1002. https://doi.org/10.1016/j.matdes.2009.07.057</w:t>
      </w:r>
    </w:p>
    <w:p w14:paraId="40C0385D"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Barnes, F., 2015. Presentation: Commercial Aspects of Carbon Fibre Recycling by ELG Carbon Fibre Ltd., in: GO Carbon FIbre Recycling 2015. ELG Carbon Fibre Ltd., Manchester.</w:t>
      </w:r>
    </w:p>
    <w:p w14:paraId="293F315C"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Beauson, J., Bech, J.I., Brøndsted, P., 2013. Composite recycling</w:t>
      </w:r>
      <w:r w:rsidRPr="0080066F">
        <w:rPr>
          <w:rFonts w:ascii="Times New Roman" w:hAnsi="Times New Roman" w:cs="Times New Roman"/>
          <w:noProof/>
          <w:lang w:val="en-US"/>
        </w:rPr>
        <w:t> </w:t>
      </w:r>
      <w:r w:rsidRPr="0080066F">
        <w:rPr>
          <w:rFonts w:ascii="Calibri" w:hAnsi="Calibri" w:cs="Times New Roman"/>
          <w:noProof/>
          <w:lang w:val="en-US"/>
        </w:rPr>
        <w:t>: Characterizing end of life wind turbine blade materials, in: The 19th International Conference on Composite Materials. Montreal, Canada, p. 8.</w:t>
      </w:r>
    </w:p>
    <w:p w14:paraId="78556DA3"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Beauson, J., Brøndsted, P., 2016. Wind Turbine Blades: An End of Life Perspective, in: Ostachowicz, W. (Ed.), MARE-WINT. Springer, pp. 421–432. https://doi.org/10.1007/978-3-319-39095-6</w:t>
      </w:r>
    </w:p>
    <w:p w14:paraId="005BF08B"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Brøndsted, P., Lilholt, H., Lystrup, A., 2005. Composite Materials for Wind Power Turbine Blades. Annu. Rev. Mater. Res. 35, 505–538. https://doi.org/10.1146/annurev.matsci.35.100303.110641</w:t>
      </w:r>
    </w:p>
    <w:p w14:paraId="6227AE61"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Corona, A., 2015. Comparative Environmental Sustainability Assessment of Bio-Based Fibre Reinforcement Materials for Wind Turbine Blades. Wind Eng. 39, 53–64.</w:t>
      </w:r>
    </w:p>
    <w:p w14:paraId="2759ADB0"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Corona, A., 2013. Quantitative sustainability assessment of bio-based materials for wind turbine rotor blades (Thesis). Technical University of Denmark.</w:t>
      </w:r>
    </w:p>
    <w:p w14:paraId="3668F0C3"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Correia, J.R., Almeida, N.M., Figueira, J.R., 2011. Recycling of FRP composites: reusing fine GFRP waste in concrete mixtures. J. Clean. Prod. 19, 1745–1753. https://doi.org/10.1016/j.jclepro.2011.05.018</w:t>
      </w:r>
    </w:p>
    <w:p w14:paraId="72E928AD"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Cunliffe, A.M., Jones, N., Williams, P.T., 2003. Pyrolysis of composite plastic waste. Environ. Technol. 24, 653–663. https://doi.org/10.1080/09593330309385599</w:t>
      </w:r>
    </w:p>
    <w:p w14:paraId="75CA6BC2"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De, S.K., White, J.R., 2001. Rubber technologist’s handbook, Volume 1. ed. iSmithers Rapra Publishing.</w:t>
      </w:r>
    </w:p>
    <w:p w14:paraId="7194D581"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Duflou, J.R., Deng, Y., Van Acker, K., Dewulf, W., 2012. Do fiber-reinforced polymer composites provide environmentally benign alternatives? A life-cycle-assessment-based study. MRS Bull. 37, 374–382. https://doi.org/10.1557/mrs.2012.33</w:t>
      </w:r>
    </w:p>
    <w:p w14:paraId="75CFA295"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EWEA, 2014. Wind energy scenarios for 2020 [WWW Document]. URL http://www.ewea.org/fileadmin/files/library/publications/scenarios/EWEA-Wind-energy-scenarios-2020.pdf (accessed 11.12.14).</w:t>
      </w:r>
    </w:p>
    <w:p w14:paraId="399D1D8C"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Gamesa Corporación Tecnológica, 2015. Gamesa Life Extension Program, in: European Wind Energy Association Conference 2015. EWEA, Paris.</w:t>
      </w:r>
    </w:p>
    <w:p w14:paraId="5B836198"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Granta Design, 2016. Eco-data in CES Eco-Selector 2016 database.</w:t>
      </w:r>
    </w:p>
    <w:p w14:paraId="5A43E6F9"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GWEC, 2016. Global Wind Report 2015: Annual market update [WWW Document]. Wind energy Technol. URL http://www.gwec.net/global-figures/wind-energy-global-status/ (accessed 6.9.16).</w:t>
      </w:r>
    </w:p>
    <w:p w14:paraId="7A00C7B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Halliwell, S., 2010. FRPs - The environmental agenda. Adv. Struct. Eng. 13, 783–791. https://doi.org/10.1260/1369-4332.13.5.783</w:t>
      </w:r>
    </w:p>
    <w:p w14:paraId="0AFB32A5"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Halliwell, S., 2006. End of Life Options for Composite Waste: Recycle, Reuse or Dispose?</w:t>
      </w:r>
    </w:p>
    <w:p w14:paraId="61D29205"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lastRenderedPageBreak/>
        <w:t>Hannah, R., Max, R., 2017. Energy Production &amp; Changing Energy Sources [WWW Document]. Ourworlddata.org website. URL https://ourworldindata.org/energy-production-and-changing-energy-sources (accessed 12.2.17).</w:t>
      </w:r>
    </w:p>
    <w:p w14:paraId="6638BED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Hazell, J., 2017. Developing a circular economy for novel materials. London.</w:t>
      </w:r>
    </w:p>
    <w:p w14:paraId="29FEA6C2"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Holmes, M., 2014. Global carbon fibre market remains on upward trend. Reinf. Plast. 58, 38–45. https://doi.org/10.1016/S0034-3617(14)70251-6</w:t>
      </w:r>
    </w:p>
    <w:p w14:paraId="29503A18"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Howarth, J., Mareddy, S.S.R., Mativenga, P.T., 2014. Energy intensity and environmental analysis of mechanical recycling of carbon fibre composite. J. Clean. Prod. 81, 46–50. https://doi.org/10.1016/j.jclepro.2014.06.023</w:t>
      </w:r>
    </w:p>
    <w:p w14:paraId="05D1677D"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Jagadish, P.R., Khalid, M., Li, L.P., Hajibeigy, M.T., Amin, N., Walvekar, R., Chan, A., 2018. Cost effective thermoelectric composites from recycled carbon fibre: From waste to energy. J. Clean. Prod. 195, 1015–1025. https://doi.org/10.1016/j.jclepro.2018.05.238</w:t>
      </w:r>
    </w:p>
    <w:p w14:paraId="4D7BE5CD"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Jiang, G., Pickering, S., Lester, E., Turner, T., Wong, K., Warrior, N., 2009. Characterisation of carbon fibres recycled from carbon fibre/epoxy resin composites using supercritical n-propanol. Compos. Sci. Technol. 69, 192–198. https://doi.org/10.1016/j.compscitech.2008.10.007</w:t>
      </w:r>
    </w:p>
    <w:p w14:paraId="252BB693"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Job, S., 2014. Recycling composites commercially. Reinf. Plast. 58, 32-34,36-38. https://doi.org/10.1016/S0034-3617(14)70213-9</w:t>
      </w:r>
    </w:p>
    <w:p w14:paraId="1907FBB9"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Job, S., Leeke, G., Mativenga, P.T., Oliveux, G., Pickering, S., Shuaib, N.A., 2016. COMPOSITES RECYCLING</w:t>
      </w:r>
      <w:r w:rsidRPr="0080066F">
        <w:rPr>
          <w:rFonts w:ascii="Times New Roman" w:hAnsi="Times New Roman" w:cs="Times New Roman"/>
          <w:noProof/>
          <w:lang w:val="en-US"/>
        </w:rPr>
        <w:t> </w:t>
      </w:r>
      <w:r w:rsidRPr="0080066F">
        <w:rPr>
          <w:rFonts w:ascii="Calibri" w:hAnsi="Calibri" w:cs="Times New Roman"/>
          <w:noProof/>
          <w:lang w:val="en-US"/>
        </w:rPr>
        <w:t>: Where are we now</w:t>
      </w:r>
      <w:r w:rsidRPr="0080066F">
        <w:rPr>
          <w:rFonts w:ascii="Times New Roman" w:hAnsi="Times New Roman" w:cs="Times New Roman"/>
          <w:noProof/>
          <w:lang w:val="en-US"/>
        </w:rPr>
        <w:t> </w:t>
      </w:r>
      <w:r w:rsidRPr="0080066F">
        <w:rPr>
          <w:rFonts w:ascii="Calibri" w:hAnsi="Calibri" w:cs="Times New Roman"/>
          <w:noProof/>
          <w:lang w:val="en-US"/>
        </w:rPr>
        <w:t>?</w:t>
      </w:r>
    </w:p>
    <w:p w14:paraId="6250A546"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Kao, C.C., Ghita, O.R., Hallam, K.R., Heard, P.J., Evans, K.E., 2012. Mechanical studies of single glass fibres recycled from hydrolysis process using sub-critical water. Compos. Part A Appl. Sci. Manuf. 43, 398–406. https://doi.org/10.1016/j.compositesa.2011.11.011</w:t>
      </w:r>
    </w:p>
    <w:p w14:paraId="4AE149B1"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Keith, M., 2017. PhD student working on solvolysis for recycling carbon fibre reinforced composites from University of Birmingham.</w:t>
      </w:r>
    </w:p>
    <w:p w14:paraId="3FD4EE48"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Keith, M., Oliveux, G., Leeke, G.A., 2016. Optimisation of Solvolysis for Recycling Carbon Fibre Reinforced composites. ECCM17 - 17th Eur. Conf. Compos. Mater. 26–30.</w:t>
      </w:r>
    </w:p>
    <w:p w14:paraId="66C617F8"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La Rosa, A.D., Banatao, D.R., Pastine, S.J., Latteri, A., Cicala, G., 2016. Recycling treatment of carbon fibre/epoxy composites: Materials recovery and characterization and environmental impacts through life cycle assessment. Compos. Part B Eng. 104, 17–25. https://doi.org/10.1016/j.compositesb.2016.08.015</w:t>
      </w:r>
    </w:p>
    <w:p w14:paraId="589280CD"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Larsen, K., 2009. Recycling wind turbine blades. Renew. Energy Focus 9, 70–73. https://doi.org/10.1016/S1755-0084(09)70045-6</w:t>
      </w:r>
    </w:p>
    <w:p w14:paraId="07640E0B"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Lester, E., Kingman, S., Wong, K.H., Rudd, C., Pickering, S., Hilal, N., 2004. Microwave heating as a means for carbon fibre recovery from polymer composites: a technical feasibility study. Mater. Res. Bull. 39, 1549–1556. https://doi.org/10.1016/j.materresbull.2004.04.031</w:t>
      </w:r>
    </w:p>
    <w:p w14:paraId="247B801C"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Li, X., Bai, R., McKechnie, J., 2016. Environmental and financial performance of mechanical recycling of carbon fibre reinforced polymers and comparison with conventional disposal routes. J. Clean. Prod. 127, 451–460. https://doi.org/10.1016/j.jclepro.2016.03.139</w:t>
      </w:r>
    </w:p>
    <w:p w14:paraId="30EE69EB"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Liu, P., 2016. Site visit in Amey Cespa Waterbeach, Info about landfill and incineration cost in UK heared from Principal Operations Manager.</w:t>
      </w:r>
    </w:p>
    <w:p w14:paraId="45623B9B"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Liu, P., Barlow, C., 2016. The environmental impact of wind turbine blades. IOP Conf. Ser. Mater. Sci. Eng. 139, 012032. https://doi.org/10.1088/1757-899X/139/1/012032</w:t>
      </w:r>
    </w:p>
    <w:p w14:paraId="64957DF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Liu, P., Barlow, C.Y., 2017. Wind turbine blade waste in 2050. Waste Manag. https://doi.org/10.1016/j.wasman.2017.02.007</w:t>
      </w:r>
    </w:p>
    <w:p w14:paraId="560EC366"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Liu, W., 2014. CTO of LZFRP, Personal Communication.</w:t>
      </w:r>
    </w:p>
    <w:p w14:paraId="0F6B0942"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lastRenderedPageBreak/>
        <w:t>Liu, Y., Shan, G., Meng, L., 2009. Recycling of carbon fibre reinforced composites using water in subcritical conditions. Mater. Sci. Eng. A 520, 179–183. https://doi.org/10.1016/j.msea.2009.05.030</w:t>
      </w:r>
    </w:p>
    <w:p w14:paraId="184EDD5B"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Marsh, G., 2010. Could thermoplastics be the answer for utility-scale wind turbine blades? Reinf. Plast. 54, 31–35. https://doi.org/10.1016/S0034-3617(10)70029-1</w:t>
      </w:r>
    </w:p>
    <w:p w14:paraId="248E9E43"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McKenna, R., Ostman V.d. Leye, P., Fichtner, W., 2016. Key challenges and prospects for large wind turbines. Renew. Sustain. Energy Rev. 53, 1212–1221. https://doi.org/10.1016/j.rser.2015.09.080</w:t>
      </w:r>
    </w:p>
    <w:p w14:paraId="0E5A3EA5"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Meng, F., 2017. PhD student, working on the fludised bed project from University of Nottingham, Email and face to face commnunication.</w:t>
      </w:r>
    </w:p>
    <w:p w14:paraId="3721EC4D"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Meng, F., McKechnie, J., Turner, T., Wong, K.H., Pickering, S.J., 2017a. Environmental Aspects of Use of Recycled Carbon Fiber Composites in Automotive Applications. Environ. Sci. Technol. 51, 12727–12736. https://doi.org/10.1021/acs.est.7b04069</w:t>
      </w:r>
    </w:p>
    <w:p w14:paraId="2B730DD5"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Meng, F., McKechnie, J., Turner, T.A., Pickering, S.J., 2017b. Energy and environmental assessment and reuse of fluidised bed recycled carbon fibres. Compos. Part A Appl. Sci. Manuf. 100, 206–214. https://doi.org/10.1016/j.compositesa.2017.05.008</w:t>
      </w:r>
    </w:p>
    <w:p w14:paraId="77E65F45"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Meng, F., Olivetti, E.A., Zhao, Y., Chang, J.C., Pickering, S.J., McKechnie, J., 2018. Comparing Life Cycle Energy and Global Warming Potential of Carbon Fiber Composite Recycling Technologies and Waste Management Options. ACS Sustain. Chem. Eng. 6, 9854–9865. https://doi.org/10.1021/acssuschemeng.8b01026</w:t>
      </w:r>
    </w:p>
    <w:p w14:paraId="5BE1D16D"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Naqvi, S.R., Prabhakara, H.M., Bramer, E.A., Dierkes, W., Akkerman, R., Brem, G., 2018. A critical review on recycling of end-of-life carbon fibre/glass fibre reinforced composites waste using pyrolysis towards a circular economy. Resour. Conserv. Recycl. 136, 118–129. https://doi.org/10.1016/j.resconrec.2018.04.013</w:t>
      </w:r>
    </w:p>
    <w:p w14:paraId="012C2A14"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Natural Power, 2015. Re-Powering, Up-Powering &amp; Life Extension.</w:t>
      </w:r>
    </w:p>
    <w:p w14:paraId="1656EED3"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Nemry, F., Leduc, G., Mongelli, I., Uihlein, A., 2008. Environmental Improvement of Passenger Cars (IMPRO-car). https://doi.org/10.2791/63451</w:t>
      </w:r>
    </w:p>
    <w:p w14:paraId="2014D8E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Ogi, K., Nishikawa, T., Okano, Y., Taketa, I., 2007. Mechanical properties of ABS resin reinforced with recycled CFRP. Adv. Compos. Mater. 16, 181–194. https://doi.org/10.1163/156855107780918982</w:t>
      </w:r>
    </w:p>
    <w:p w14:paraId="5AD25A31"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Okajima, I., Watanabe, K., Sako, T., 2012. Chemical Recycling of Carbon Fiber Reinforced Plastic with Supercritical Alcohol. J. Adv. Res. Phys. 3, 1–4.</w:t>
      </w:r>
    </w:p>
    <w:p w14:paraId="52DAEF71"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Oliveux, G., Bailleul, J.-L., Salle, E.L.G. La, 2012. Chemical recycling of glass fibre reinforced composites using subcritical water. Compos. Part A Appl. Sci. Manuf. 43, 1809–1818. https://doi.org/10.1016/j.compositesa.2012.06.008</w:t>
      </w:r>
    </w:p>
    <w:p w14:paraId="342097EB"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Oliveux, G., Dandy, L.O., Leeke, G. a., 2015. Current Status of Recycling of Fibre Reinforced Polymers: review of technologies, reuse and resulting properties. Prog. Mater. Sci. 72, 61–99. https://doi.org/10.1016/j.pmatsci.2015.01.004</w:t>
      </w:r>
    </w:p>
    <w:p w14:paraId="6170F25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Onwudili, J.A., Insura, N., Williams, P.T., 2013. Autoclave pyrolysis of carbon reinforced composite plastic waste for carbon fibre and chemicals recovery. J. Energy Inst. 86, 227–232. https://doi.org/10.1179/1743967113Z.00000000066</w:t>
      </w:r>
    </w:p>
    <w:p w14:paraId="450E5AAF"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Orenda Energy Solutions, 2014. German companies use old wind turbine blades for cement [WWW Document]. Orenda Energy Solut. website. URL http://orendaenergy.com/german-companies-use-old-wind-turbine-blades-for-cement/ (accessed 5.1.16).</w:t>
      </w:r>
    </w:p>
    <w:p w14:paraId="52B9CC4E"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Palmer, J., 2009. Mechanical recycling of automotive composites for use as reinforcement in thermoset composites. University of Exeter.</w:t>
      </w:r>
    </w:p>
    <w:p w14:paraId="3CDFB948"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lastRenderedPageBreak/>
        <w:t>Pickering, S.J., 2006. Recycling technologies for thermoset composite materials—current status. Compos. Part A Appl. Sci. Manuf. 37, 1206–1215. https://doi.org/10.1016/j.compositesa.2005.05.030</w:t>
      </w:r>
    </w:p>
    <w:p w14:paraId="6DD3DD0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Pickering, S.J., Kelly, R.M., Kennerley, J.R., Rudd, C.D., Fenwick, N.J., 2000. A fluidised-bed process for the recovery of glass fibres from scrap thermoset composites. Compos. Sci. Technol. 60, 509–523.</w:t>
      </w:r>
    </w:p>
    <w:p w14:paraId="73D3B952"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Pickering, S.J., Turner, T.A., Meng, F., Morris, C.N., Heil, J.P., Wong, K.H., Melendi, S., 2015. DEVELOPMENTS IN THE FLUIDISED BED PROCESS FOR FIBRE RECOVERY FROM THERMOSET COMPOSITES, in: 2nd Annual Composites and Advanced Materials Expo, CAMX 2015. CAMX 2015, Dallas, Texas.</w:t>
      </w:r>
    </w:p>
    <w:p w14:paraId="1C798630"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RenoSam&amp;Ramboll, 2006. Waste-to-energy in Denmark, Energy.</w:t>
      </w:r>
    </w:p>
    <w:p w14:paraId="7D1D9B9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Rouholamin, D., Shyng, Y.T., Savage, L., Ghita, O., 2014. A Comparative Study Into Mechanical Performance of Glass Fibres Recovered Through Mechanical Grinding and High Voltage Pulse Power Fragmentation. 16th Eur. Conf. Compos. Mater. 22–26.</w:t>
      </w:r>
    </w:p>
    <w:p w14:paraId="73E75DAD"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Sayer, F., Bürkner, F., Blunk, M., Van Wingerde, A.M., Busmann, H., 2009. Influence of Loads and Environmental Conditions on Material Properties over the Service Life of Rotor Blades. DEWI Mag. 24–31.</w:t>
      </w:r>
    </w:p>
    <w:p w14:paraId="0E01A412"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Schmidt, A., 2006. Life cycle assessment of electricity produced from onshore sited wind power plants based on Vestas V82-1.65 MW turbines.</w:t>
      </w:r>
    </w:p>
    <w:p w14:paraId="70000181"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Shibata, K., Nakagawa, M., 2014. Hitachi Chemical Technical Report: CFRP Recycling Technology Using Depolymerization under Ordinary Pressure.</w:t>
      </w:r>
    </w:p>
    <w:p w14:paraId="4B46B031"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Shuaib, N.A., Mativenga, P.T., Howarth, J., Pestalozzi, F., Woidasky, J., 2016. High voltage fragmentation and mechanical recycling of glass fibre thermoset composite. CIRP Ann. - Manuf. Technol. 65, 45–48. https://doi.org/10.1016/j.cirp.2016.04.107</w:t>
      </w:r>
    </w:p>
    <w:p w14:paraId="71E22B3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Shyng, Y.T., Ghita, O., 2013. Fragmentation analysis of glass fibres recovered from hydrolysis processes, in: The 19Th International Conference on Composite Materials. Montreal, Canada.</w:t>
      </w:r>
    </w:p>
    <w:p w14:paraId="0CA151B3"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Suzuki, T., Takahashi, J., 2005. Prediction of energy intensity of carbon fiber reinforced plastics for mass-produced passenger cars. Japan Int. SAMPE Symp. JISSE-9 14–19.</w:t>
      </w:r>
    </w:p>
    <w:p w14:paraId="23C7FCCC"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U.S. Energy Information Administration (EIA), 2017. How much coal, natural gas, or petroleum is used to generate a kilowatthour of electricity? - FAQ - U.S. Energy Information Administration (EIA) [WWW Document]. EIA website. URL https://www.eia.gov/tools/faqs/faq.php?id=667&amp;t=2 (accessed 4.1.17).</w:t>
      </w:r>
    </w:p>
    <w:p w14:paraId="4A39DD80"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Weh, A., 2012a. Final Report Summary – SELFRAG CFRP (High Voltage Pulse Fragmentation Technology to Recycle Fibre-Reinforced Composites). SELFRAG AG.</w:t>
      </w:r>
    </w:p>
    <w:p w14:paraId="28F3449A"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Weh, A., 2012b. Final Report Summary – SELFRAG CFRP (High Voltage Pulse Fragmentation Technology to Recycle Fibre-Reinforced Composites) – figures. SELFRAG AG.</w:t>
      </w:r>
    </w:p>
    <w:p w14:paraId="179B9E44"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Wingerde, A. Van, Nijssen, R., 2003. Introduction to the OPTIMAT BLADES project, in: Proc. 2003 European Wind Energy Conference and Exhibition.</w:t>
      </w:r>
    </w:p>
    <w:p w14:paraId="481353C5"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Witik, R.A., Teuscher, R., Michaud, V., Ludwig, C., Månson, J.A.E., 2013. Carbon fibre reinforced composite waste: An environmental assessment of recycling, energy recovery and landfilling. Compos. Part A Appl. Sci. Manuf. 49, 89–99. https://doi.org/10.1016/j.compositesa.2013.02.009</w:t>
      </w:r>
    </w:p>
    <w:p w14:paraId="288187D5"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World Bank, 1999. Technical Guidance Report: Municipal Solid Waste Incineration. Washington, D.C.</w:t>
      </w:r>
    </w:p>
    <w:p w14:paraId="0C44B300" w14:textId="77777777" w:rsidR="0080066F" w:rsidRPr="0080066F" w:rsidRDefault="0080066F" w:rsidP="0080066F">
      <w:pPr>
        <w:widowControl w:val="0"/>
        <w:autoSpaceDE w:val="0"/>
        <w:autoSpaceDN w:val="0"/>
        <w:adjustRightInd w:val="0"/>
        <w:ind w:left="480" w:hanging="480"/>
        <w:rPr>
          <w:rFonts w:ascii="Calibri" w:hAnsi="Calibri" w:cs="Times New Roman"/>
          <w:noProof/>
          <w:lang w:val="en-US"/>
        </w:rPr>
      </w:pPr>
      <w:r w:rsidRPr="0080066F">
        <w:rPr>
          <w:rFonts w:ascii="Calibri" w:hAnsi="Calibri" w:cs="Times New Roman"/>
          <w:noProof/>
          <w:lang w:val="en-US"/>
        </w:rPr>
        <w:t xml:space="preserve">Yip, H.L.H., Pickering, S.J., Rudd, C.D., 2002. Characterisation of carbon fibres recycled from scrap composites using fluidised bed process. Plast. Rubber Compos. 31, 278–282. </w:t>
      </w:r>
      <w:r w:rsidRPr="0080066F">
        <w:rPr>
          <w:rFonts w:ascii="Calibri" w:hAnsi="Calibri" w:cs="Times New Roman"/>
          <w:noProof/>
          <w:lang w:val="en-US"/>
        </w:rPr>
        <w:lastRenderedPageBreak/>
        <w:t>https://doi.org/10.1179/146580102225003047</w:t>
      </w:r>
    </w:p>
    <w:p w14:paraId="4293B874" w14:textId="77777777" w:rsidR="0080066F" w:rsidRPr="0080066F" w:rsidRDefault="0080066F" w:rsidP="0080066F">
      <w:pPr>
        <w:widowControl w:val="0"/>
        <w:autoSpaceDE w:val="0"/>
        <w:autoSpaceDN w:val="0"/>
        <w:adjustRightInd w:val="0"/>
        <w:ind w:left="480" w:hanging="480"/>
        <w:rPr>
          <w:rFonts w:ascii="Calibri" w:hAnsi="Calibri"/>
          <w:noProof/>
        </w:rPr>
      </w:pPr>
      <w:r w:rsidRPr="0080066F">
        <w:rPr>
          <w:rFonts w:ascii="Calibri" w:hAnsi="Calibri" w:cs="Times New Roman"/>
          <w:noProof/>
          <w:lang w:val="en-US"/>
        </w:rPr>
        <w:t>Zhang, Z., 2016. Technical director of O&amp;M service provider-Kahn Wind, Personal Communication. KahnWind.</w:t>
      </w:r>
    </w:p>
    <w:p w14:paraId="38180F7C" w14:textId="77777777" w:rsidR="00F20503" w:rsidRPr="00F20503" w:rsidRDefault="00107EB7" w:rsidP="0080066F">
      <w:pPr>
        <w:widowControl w:val="0"/>
        <w:autoSpaceDE w:val="0"/>
        <w:autoSpaceDN w:val="0"/>
        <w:adjustRightInd w:val="0"/>
        <w:ind w:left="480" w:hanging="480"/>
        <w:rPr>
          <w:lang w:eastAsia="en-GB"/>
        </w:rPr>
      </w:pPr>
      <w:r>
        <w:rPr>
          <w:lang w:eastAsia="en-GB"/>
        </w:rPr>
        <w:fldChar w:fldCharType="end"/>
      </w:r>
    </w:p>
    <w:p w14:paraId="0E16DD9E" w14:textId="77777777" w:rsidR="00F20503" w:rsidRPr="00F20503" w:rsidRDefault="00F20503" w:rsidP="00F20503">
      <w:pPr>
        <w:rPr>
          <w:lang w:eastAsia="en-GB"/>
        </w:rPr>
      </w:pPr>
    </w:p>
    <w:p w14:paraId="1E40BA83" w14:textId="77777777" w:rsidR="009E07A8" w:rsidRDefault="009E07A8" w:rsidP="00843471">
      <w:pPr>
        <w:tabs>
          <w:tab w:val="left" w:pos="851"/>
        </w:tabs>
        <w:spacing w:before="120" w:line="360" w:lineRule="auto"/>
        <w:rPr>
          <w:rFonts w:ascii="Helvetica" w:eastAsia="Times New Roman" w:hAnsi="Helvetica" w:cs="Times New Roman"/>
          <w:sz w:val="22"/>
          <w:lang w:eastAsia="en-GB"/>
        </w:rPr>
      </w:pPr>
    </w:p>
    <w:p w14:paraId="343FEB56" w14:textId="77777777" w:rsidR="009E07A8" w:rsidRDefault="009E07A8" w:rsidP="00843471">
      <w:pPr>
        <w:tabs>
          <w:tab w:val="left" w:pos="851"/>
        </w:tabs>
        <w:spacing w:before="120" w:line="360" w:lineRule="auto"/>
        <w:rPr>
          <w:rFonts w:ascii="Helvetica" w:eastAsia="Times New Roman" w:hAnsi="Helvetica" w:cs="Times New Roman"/>
          <w:sz w:val="22"/>
          <w:lang w:eastAsia="en-GB"/>
        </w:rPr>
      </w:pPr>
    </w:p>
    <w:p w14:paraId="1334217B" w14:textId="77777777" w:rsidR="00F20503" w:rsidRPr="00843471" w:rsidRDefault="00107EB7" w:rsidP="009E07A8">
      <w:pPr>
        <w:rPr>
          <w:rFonts w:ascii="Helvetica" w:eastAsia="Times New Roman" w:hAnsi="Helvetica" w:cs="Times New Roman"/>
          <w:sz w:val="22"/>
          <w:lang w:eastAsia="en-GB"/>
        </w:rPr>
      </w:pPr>
      <w:r>
        <w:rPr>
          <w:rFonts w:ascii="Helvetica" w:eastAsia="Times New Roman" w:hAnsi="Helvetica" w:cs="Times New Roman"/>
          <w:sz w:val="22"/>
          <w:lang w:eastAsia="en-GB"/>
        </w:rPr>
        <w:fldChar w:fldCharType="begin"/>
      </w:r>
      <w:r w:rsidR="009E07A8">
        <w:rPr>
          <w:rFonts w:ascii="Helvetica" w:eastAsia="Times New Roman" w:hAnsi="Helvetica" w:cs="Times New Roman"/>
          <w:sz w:val="22"/>
          <w:lang w:eastAsia="en-GB"/>
        </w:rPr>
        <w:instrText xml:space="preserve"> ADDIN EN.REFLIST </w:instrText>
      </w:r>
      <w:r>
        <w:rPr>
          <w:rFonts w:ascii="Helvetica" w:eastAsia="Times New Roman" w:hAnsi="Helvetica" w:cs="Times New Roman"/>
          <w:sz w:val="22"/>
          <w:lang w:eastAsia="en-GB"/>
        </w:rPr>
        <w:fldChar w:fldCharType="end"/>
      </w:r>
    </w:p>
    <w:sectPr w:rsidR="00F20503" w:rsidRPr="00843471" w:rsidSect="00B209B7">
      <w:footerReference w:type="even" r:id="rId19"/>
      <w:footerReference w:type="default" r:id="rId20"/>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F564A" w16cid:durableId="1F54E1C5"/>
  <w16cid:commentId w16cid:paraId="4C8D2910" w16cid:durableId="1F550A8B"/>
  <w16cid:commentId w16cid:paraId="48B1ADBD" w16cid:durableId="1F55BDF3"/>
  <w16cid:commentId w16cid:paraId="2C2CB969" w16cid:durableId="1F54E702"/>
  <w16cid:commentId w16cid:paraId="44A6E6F0" w16cid:durableId="1F55BDF5"/>
  <w16cid:commentId w16cid:paraId="5AFA1DF8" w16cid:durableId="1F54E4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922CC" w14:textId="77777777" w:rsidR="002B113E" w:rsidRDefault="002B113E" w:rsidP="00BF2612">
      <w:r>
        <w:separator/>
      </w:r>
    </w:p>
  </w:endnote>
  <w:endnote w:type="continuationSeparator" w:id="0">
    <w:p w14:paraId="0ABB40F1" w14:textId="77777777" w:rsidR="002B113E" w:rsidRDefault="002B113E" w:rsidP="00B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panose1 w:val="03000509000000000000"/>
    <w:charset w:val="86"/>
    <w:family w:val="script"/>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annotate SC Regular">
    <w:altName w:val="Arial Unicode MS"/>
    <w:charset w:val="86"/>
    <w:family w:val="script"/>
    <w:pitch w:val="variable"/>
    <w:sig w:usb0="A00002FF" w:usb1="7ACF7CFB" w:usb2="00000016" w:usb3="00000000" w:csb0="00040001" w:csb1="00000000"/>
  </w:font>
  <w:font w:name="Hannotate TC">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Apple Color Emoji UI">
    <w:charset w:val="00"/>
    <w:family w:val="auto"/>
    <w:pitch w:val="variable"/>
    <w:sig w:usb0="00000003" w:usb1="18000000" w:usb2="14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6ECF1" w14:textId="77777777" w:rsidR="00BB5D58" w:rsidRDefault="00BB5D58" w:rsidP="002054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C80F6" w14:textId="77777777" w:rsidR="00BB5D58" w:rsidRDefault="00BB5D58" w:rsidP="00BF26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DA0D" w14:textId="77777777" w:rsidR="00BB5D58" w:rsidRDefault="00BB5D58" w:rsidP="002054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9B7">
      <w:rPr>
        <w:rStyle w:val="PageNumber"/>
        <w:noProof/>
      </w:rPr>
      <w:t>26</w:t>
    </w:r>
    <w:r>
      <w:rPr>
        <w:rStyle w:val="PageNumber"/>
      </w:rPr>
      <w:fldChar w:fldCharType="end"/>
    </w:r>
  </w:p>
  <w:p w14:paraId="6C52E3F6" w14:textId="77777777" w:rsidR="00BB5D58" w:rsidRDefault="00BB5D58" w:rsidP="00BF26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599E0" w14:textId="77777777" w:rsidR="002B113E" w:rsidRDefault="002B113E" w:rsidP="00BF2612">
      <w:r>
        <w:separator/>
      </w:r>
    </w:p>
  </w:footnote>
  <w:footnote w:type="continuationSeparator" w:id="0">
    <w:p w14:paraId="391AEF78" w14:textId="77777777" w:rsidR="002B113E" w:rsidRDefault="002B113E" w:rsidP="00BF2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68D8"/>
    <w:multiLevelType w:val="hybridMultilevel"/>
    <w:tmpl w:val="E9C4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61281"/>
    <w:multiLevelType w:val="hybridMultilevel"/>
    <w:tmpl w:val="279A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7061"/>
    <w:multiLevelType w:val="hybridMultilevel"/>
    <w:tmpl w:val="2A0E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54DB5"/>
    <w:multiLevelType w:val="hybridMultilevel"/>
    <w:tmpl w:val="91FA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627AF"/>
    <w:multiLevelType w:val="hybridMultilevel"/>
    <w:tmpl w:val="2D0E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E556B2"/>
    <w:multiLevelType w:val="hybridMultilevel"/>
    <w:tmpl w:val="7772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60D4A"/>
    <w:multiLevelType w:val="multilevel"/>
    <w:tmpl w:val="7772D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35467C"/>
    <w:multiLevelType w:val="hybridMultilevel"/>
    <w:tmpl w:val="8B20E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C757F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EDF0DA7"/>
    <w:multiLevelType w:val="hybridMultilevel"/>
    <w:tmpl w:val="E692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4"/>
  </w:num>
  <w:num w:numId="5">
    <w:abstractNumId w:val="8"/>
  </w:num>
  <w:num w:numId="6">
    <w:abstractNumId w:val="0"/>
  </w:num>
  <w:num w:numId="7">
    <w:abstractNumId w:val="3"/>
  </w:num>
  <w:num w:numId="8">
    <w:abstractNumId w:val="6"/>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eaner Production&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xza9wfcw5wd0e52vq5d2zr95zzsav2zszt&quot;&gt;Literature&lt;record-ids&gt;&lt;item&gt;568&lt;/item&gt;&lt;/record-ids&gt;&lt;/item&gt;&lt;/Libraries&gt;"/>
  </w:docVars>
  <w:rsids>
    <w:rsidRoot w:val="00B44120"/>
    <w:rsid w:val="00001856"/>
    <w:rsid w:val="00004C5C"/>
    <w:rsid w:val="000050A9"/>
    <w:rsid w:val="00011392"/>
    <w:rsid w:val="000127B4"/>
    <w:rsid w:val="00013034"/>
    <w:rsid w:val="000233AE"/>
    <w:rsid w:val="00023944"/>
    <w:rsid w:val="00024504"/>
    <w:rsid w:val="00024F77"/>
    <w:rsid w:val="00025153"/>
    <w:rsid w:val="00032BB3"/>
    <w:rsid w:val="00035981"/>
    <w:rsid w:val="000430CE"/>
    <w:rsid w:val="00056BD5"/>
    <w:rsid w:val="00083C4C"/>
    <w:rsid w:val="000A4E26"/>
    <w:rsid w:val="000A601D"/>
    <w:rsid w:val="000C1395"/>
    <w:rsid w:val="000C19DB"/>
    <w:rsid w:val="000C4A5D"/>
    <w:rsid w:val="000C523E"/>
    <w:rsid w:val="000C66FA"/>
    <w:rsid w:val="000D6417"/>
    <w:rsid w:val="000D789B"/>
    <w:rsid w:val="000E0B6D"/>
    <w:rsid w:val="000F7389"/>
    <w:rsid w:val="000F7870"/>
    <w:rsid w:val="001005CA"/>
    <w:rsid w:val="00100896"/>
    <w:rsid w:val="0010155B"/>
    <w:rsid w:val="00107EB7"/>
    <w:rsid w:val="001126B8"/>
    <w:rsid w:val="0011542A"/>
    <w:rsid w:val="00116385"/>
    <w:rsid w:val="00116925"/>
    <w:rsid w:val="00126008"/>
    <w:rsid w:val="001269EA"/>
    <w:rsid w:val="00127996"/>
    <w:rsid w:val="00127D64"/>
    <w:rsid w:val="00136A37"/>
    <w:rsid w:val="0014278D"/>
    <w:rsid w:val="00144DC4"/>
    <w:rsid w:val="00145BBD"/>
    <w:rsid w:val="001523A4"/>
    <w:rsid w:val="00161BB2"/>
    <w:rsid w:val="0017720F"/>
    <w:rsid w:val="00181C0A"/>
    <w:rsid w:val="00181FDF"/>
    <w:rsid w:val="0018277C"/>
    <w:rsid w:val="00183529"/>
    <w:rsid w:val="00185ECB"/>
    <w:rsid w:val="00191921"/>
    <w:rsid w:val="00192E8E"/>
    <w:rsid w:val="001B1E0C"/>
    <w:rsid w:val="001B36F6"/>
    <w:rsid w:val="001B6DEA"/>
    <w:rsid w:val="001D3AF8"/>
    <w:rsid w:val="001E1280"/>
    <w:rsid w:val="001E601A"/>
    <w:rsid w:val="001F587B"/>
    <w:rsid w:val="00200C4B"/>
    <w:rsid w:val="002022ED"/>
    <w:rsid w:val="002054BA"/>
    <w:rsid w:val="002058DA"/>
    <w:rsid w:val="0021774B"/>
    <w:rsid w:val="0022044B"/>
    <w:rsid w:val="00224EF4"/>
    <w:rsid w:val="00225F67"/>
    <w:rsid w:val="0022684A"/>
    <w:rsid w:val="00226A39"/>
    <w:rsid w:val="002317E3"/>
    <w:rsid w:val="00231E21"/>
    <w:rsid w:val="002327B2"/>
    <w:rsid w:val="00240CCA"/>
    <w:rsid w:val="00242574"/>
    <w:rsid w:val="002472B5"/>
    <w:rsid w:val="00251BF1"/>
    <w:rsid w:val="002625BD"/>
    <w:rsid w:val="00262743"/>
    <w:rsid w:val="0026519A"/>
    <w:rsid w:val="002661E4"/>
    <w:rsid w:val="00266BC4"/>
    <w:rsid w:val="00266E36"/>
    <w:rsid w:val="00267ABE"/>
    <w:rsid w:val="002838F0"/>
    <w:rsid w:val="00290E9A"/>
    <w:rsid w:val="002920FA"/>
    <w:rsid w:val="00294360"/>
    <w:rsid w:val="00296CAD"/>
    <w:rsid w:val="002A48F3"/>
    <w:rsid w:val="002B113E"/>
    <w:rsid w:val="002B7A72"/>
    <w:rsid w:val="002C361E"/>
    <w:rsid w:val="002C5A67"/>
    <w:rsid w:val="002C637B"/>
    <w:rsid w:val="002D141D"/>
    <w:rsid w:val="002D3ADD"/>
    <w:rsid w:val="002E1563"/>
    <w:rsid w:val="002E29BE"/>
    <w:rsid w:val="002E4D72"/>
    <w:rsid w:val="002E6867"/>
    <w:rsid w:val="002E6DDA"/>
    <w:rsid w:val="002F1502"/>
    <w:rsid w:val="002F3960"/>
    <w:rsid w:val="00303B5D"/>
    <w:rsid w:val="00311F1E"/>
    <w:rsid w:val="00314FFC"/>
    <w:rsid w:val="00317C32"/>
    <w:rsid w:val="00320751"/>
    <w:rsid w:val="00321A09"/>
    <w:rsid w:val="00325D94"/>
    <w:rsid w:val="00330558"/>
    <w:rsid w:val="00335323"/>
    <w:rsid w:val="003402E3"/>
    <w:rsid w:val="003505D2"/>
    <w:rsid w:val="00352249"/>
    <w:rsid w:val="00356496"/>
    <w:rsid w:val="003717D9"/>
    <w:rsid w:val="00372A9D"/>
    <w:rsid w:val="00372B5D"/>
    <w:rsid w:val="0037587F"/>
    <w:rsid w:val="00377D2D"/>
    <w:rsid w:val="00377D33"/>
    <w:rsid w:val="0038078B"/>
    <w:rsid w:val="00387C70"/>
    <w:rsid w:val="00387CB7"/>
    <w:rsid w:val="00392B03"/>
    <w:rsid w:val="00393D15"/>
    <w:rsid w:val="00394AAF"/>
    <w:rsid w:val="003B0D16"/>
    <w:rsid w:val="003B4E48"/>
    <w:rsid w:val="003B56D7"/>
    <w:rsid w:val="003C3AE4"/>
    <w:rsid w:val="003C5398"/>
    <w:rsid w:val="003D1F27"/>
    <w:rsid w:val="003F094F"/>
    <w:rsid w:val="003F14BC"/>
    <w:rsid w:val="003F2208"/>
    <w:rsid w:val="004047B1"/>
    <w:rsid w:val="00411CA5"/>
    <w:rsid w:val="0041392A"/>
    <w:rsid w:val="00436312"/>
    <w:rsid w:val="0045012C"/>
    <w:rsid w:val="0045572A"/>
    <w:rsid w:val="00457CC1"/>
    <w:rsid w:val="00461D09"/>
    <w:rsid w:val="00470AA8"/>
    <w:rsid w:val="004711BA"/>
    <w:rsid w:val="00476E85"/>
    <w:rsid w:val="004800D5"/>
    <w:rsid w:val="00482D0D"/>
    <w:rsid w:val="004843F2"/>
    <w:rsid w:val="00495D8D"/>
    <w:rsid w:val="004960A8"/>
    <w:rsid w:val="004A7EA8"/>
    <w:rsid w:val="004C0039"/>
    <w:rsid w:val="004C23AF"/>
    <w:rsid w:val="004C6842"/>
    <w:rsid w:val="004D4E41"/>
    <w:rsid w:val="004D7BFC"/>
    <w:rsid w:val="004F2ADD"/>
    <w:rsid w:val="004F784E"/>
    <w:rsid w:val="004F7D4E"/>
    <w:rsid w:val="00500DAB"/>
    <w:rsid w:val="0050438E"/>
    <w:rsid w:val="0050556F"/>
    <w:rsid w:val="0051099B"/>
    <w:rsid w:val="00513A0F"/>
    <w:rsid w:val="00517722"/>
    <w:rsid w:val="0052255F"/>
    <w:rsid w:val="0054477A"/>
    <w:rsid w:val="00544867"/>
    <w:rsid w:val="00545B70"/>
    <w:rsid w:val="005500C2"/>
    <w:rsid w:val="00557274"/>
    <w:rsid w:val="00566527"/>
    <w:rsid w:val="00567783"/>
    <w:rsid w:val="00575D81"/>
    <w:rsid w:val="00580752"/>
    <w:rsid w:val="00586649"/>
    <w:rsid w:val="005A23AE"/>
    <w:rsid w:val="005B3EA5"/>
    <w:rsid w:val="005C4D44"/>
    <w:rsid w:val="005C5286"/>
    <w:rsid w:val="005D096F"/>
    <w:rsid w:val="005D0F41"/>
    <w:rsid w:val="005D23B6"/>
    <w:rsid w:val="005D547A"/>
    <w:rsid w:val="005D6D08"/>
    <w:rsid w:val="005E0E6C"/>
    <w:rsid w:val="005E7303"/>
    <w:rsid w:val="005F3D6F"/>
    <w:rsid w:val="005F4A27"/>
    <w:rsid w:val="005F53BA"/>
    <w:rsid w:val="0060508C"/>
    <w:rsid w:val="0061129A"/>
    <w:rsid w:val="0061161F"/>
    <w:rsid w:val="00621E06"/>
    <w:rsid w:val="00624659"/>
    <w:rsid w:val="00624D22"/>
    <w:rsid w:val="006355BD"/>
    <w:rsid w:val="00641233"/>
    <w:rsid w:val="0064300B"/>
    <w:rsid w:val="006452EF"/>
    <w:rsid w:val="00645A59"/>
    <w:rsid w:val="0064657F"/>
    <w:rsid w:val="00646BB3"/>
    <w:rsid w:val="00650244"/>
    <w:rsid w:val="00650E30"/>
    <w:rsid w:val="0066197F"/>
    <w:rsid w:val="0066488C"/>
    <w:rsid w:val="00666A36"/>
    <w:rsid w:val="006672D3"/>
    <w:rsid w:val="006826BB"/>
    <w:rsid w:val="00685E2E"/>
    <w:rsid w:val="00686F11"/>
    <w:rsid w:val="006923BB"/>
    <w:rsid w:val="006A3EAE"/>
    <w:rsid w:val="006A4A69"/>
    <w:rsid w:val="006B0AC5"/>
    <w:rsid w:val="006B1B85"/>
    <w:rsid w:val="006C1162"/>
    <w:rsid w:val="006C5B52"/>
    <w:rsid w:val="006E1C4D"/>
    <w:rsid w:val="006E2BE8"/>
    <w:rsid w:val="006F53C1"/>
    <w:rsid w:val="006F6D78"/>
    <w:rsid w:val="0070098A"/>
    <w:rsid w:val="0070194A"/>
    <w:rsid w:val="00704558"/>
    <w:rsid w:val="00704B7F"/>
    <w:rsid w:val="00720B3C"/>
    <w:rsid w:val="0072193A"/>
    <w:rsid w:val="00722EEA"/>
    <w:rsid w:val="00724379"/>
    <w:rsid w:val="007244BF"/>
    <w:rsid w:val="007275AD"/>
    <w:rsid w:val="00732870"/>
    <w:rsid w:val="0073343F"/>
    <w:rsid w:val="00733587"/>
    <w:rsid w:val="00735DE1"/>
    <w:rsid w:val="0074018C"/>
    <w:rsid w:val="0074224E"/>
    <w:rsid w:val="007423CD"/>
    <w:rsid w:val="00744168"/>
    <w:rsid w:val="00745032"/>
    <w:rsid w:val="00752854"/>
    <w:rsid w:val="007549E3"/>
    <w:rsid w:val="00754C99"/>
    <w:rsid w:val="00756569"/>
    <w:rsid w:val="00761FD3"/>
    <w:rsid w:val="00763735"/>
    <w:rsid w:val="0077351E"/>
    <w:rsid w:val="00781323"/>
    <w:rsid w:val="00785217"/>
    <w:rsid w:val="0079057E"/>
    <w:rsid w:val="007A20F0"/>
    <w:rsid w:val="007A4A29"/>
    <w:rsid w:val="007A5565"/>
    <w:rsid w:val="007A6419"/>
    <w:rsid w:val="007B18F1"/>
    <w:rsid w:val="007B4ECF"/>
    <w:rsid w:val="007B5DAB"/>
    <w:rsid w:val="007C297A"/>
    <w:rsid w:val="007C60B7"/>
    <w:rsid w:val="007C6C72"/>
    <w:rsid w:val="007D4C70"/>
    <w:rsid w:val="007D5ACA"/>
    <w:rsid w:val="007D771E"/>
    <w:rsid w:val="007E01E0"/>
    <w:rsid w:val="007F1F37"/>
    <w:rsid w:val="007F6241"/>
    <w:rsid w:val="0080066F"/>
    <w:rsid w:val="00801B4D"/>
    <w:rsid w:val="008031E3"/>
    <w:rsid w:val="00821643"/>
    <w:rsid w:val="0082792C"/>
    <w:rsid w:val="00834BDB"/>
    <w:rsid w:val="00835656"/>
    <w:rsid w:val="00842A69"/>
    <w:rsid w:val="00842ED2"/>
    <w:rsid w:val="00843471"/>
    <w:rsid w:val="00843ADC"/>
    <w:rsid w:val="0084731B"/>
    <w:rsid w:val="008564F4"/>
    <w:rsid w:val="00860AD9"/>
    <w:rsid w:val="00862F78"/>
    <w:rsid w:val="008649DF"/>
    <w:rsid w:val="00867AE5"/>
    <w:rsid w:val="008700CF"/>
    <w:rsid w:val="00870F1C"/>
    <w:rsid w:val="0087241C"/>
    <w:rsid w:val="0087512B"/>
    <w:rsid w:val="008867B3"/>
    <w:rsid w:val="00897089"/>
    <w:rsid w:val="008A01CE"/>
    <w:rsid w:val="008A0536"/>
    <w:rsid w:val="008A2A1E"/>
    <w:rsid w:val="008B1A84"/>
    <w:rsid w:val="008B5BA3"/>
    <w:rsid w:val="008C1CC1"/>
    <w:rsid w:val="008C6C08"/>
    <w:rsid w:val="008D0C48"/>
    <w:rsid w:val="008D5D43"/>
    <w:rsid w:val="008D6330"/>
    <w:rsid w:val="008F1D0A"/>
    <w:rsid w:val="0090120D"/>
    <w:rsid w:val="009055C5"/>
    <w:rsid w:val="00905657"/>
    <w:rsid w:val="009169D5"/>
    <w:rsid w:val="00922A6C"/>
    <w:rsid w:val="009305BB"/>
    <w:rsid w:val="009406B5"/>
    <w:rsid w:val="00945B5F"/>
    <w:rsid w:val="00946F36"/>
    <w:rsid w:val="00950644"/>
    <w:rsid w:val="00960E10"/>
    <w:rsid w:val="009614EC"/>
    <w:rsid w:val="00965CEB"/>
    <w:rsid w:val="009662B9"/>
    <w:rsid w:val="009663CF"/>
    <w:rsid w:val="00966B92"/>
    <w:rsid w:val="009731C1"/>
    <w:rsid w:val="00976411"/>
    <w:rsid w:val="009769AD"/>
    <w:rsid w:val="00981213"/>
    <w:rsid w:val="00986457"/>
    <w:rsid w:val="00995170"/>
    <w:rsid w:val="00995A5E"/>
    <w:rsid w:val="009A2254"/>
    <w:rsid w:val="009A3E69"/>
    <w:rsid w:val="009B042C"/>
    <w:rsid w:val="009B2343"/>
    <w:rsid w:val="009B55C3"/>
    <w:rsid w:val="009B642D"/>
    <w:rsid w:val="009D2D55"/>
    <w:rsid w:val="009D68D8"/>
    <w:rsid w:val="009E07A8"/>
    <w:rsid w:val="009E5587"/>
    <w:rsid w:val="009F1192"/>
    <w:rsid w:val="009F1CAF"/>
    <w:rsid w:val="009F22E9"/>
    <w:rsid w:val="009F46D3"/>
    <w:rsid w:val="00A003CD"/>
    <w:rsid w:val="00A04FB1"/>
    <w:rsid w:val="00A07517"/>
    <w:rsid w:val="00A1219E"/>
    <w:rsid w:val="00A17B85"/>
    <w:rsid w:val="00A34269"/>
    <w:rsid w:val="00A415DC"/>
    <w:rsid w:val="00A4468A"/>
    <w:rsid w:val="00A50D95"/>
    <w:rsid w:val="00A5104F"/>
    <w:rsid w:val="00A56FAD"/>
    <w:rsid w:val="00A602DD"/>
    <w:rsid w:val="00A603D4"/>
    <w:rsid w:val="00A655C1"/>
    <w:rsid w:val="00A7779E"/>
    <w:rsid w:val="00A77969"/>
    <w:rsid w:val="00A81364"/>
    <w:rsid w:val="00A97A2A"/>
    <w:rsid w:val="00AA3E9D"/>
    <w:rsid w:val="00AA465B"/>
    <w:rsid w:val="00AA71E0"/>
    <w:rsid w:val="00AB7248"/>
    <w:rsid w:val="00AC78A4"/>
    <w:rsid w:val="00AD20D1"/>
    <w:rsid w:val="00AD7503"/>
    <w:rsid w:val="00AE5D27"/>
    <w:rsid w:val="00AE69EF"/>
    <w:rsid w:val="00AF38B7"/>
    <w:rsid w:val="00AF4295"/>
    <w:rsid w:val="00AF5A31"/>
    <w:rsid w:val="00B0569B"/>
    <w:rsid w:val="00B209B7"/>
    <w:rsid w:val="00B27DC5"/>
    <w:rsid w:val="00B36FC0"/>
    <w:rsid w:val="00B37395"/>
    <w:rsid w:val="00B37784"/>
    <w:rsid w:val="00B434D2"/>
    <w:rsid w:val="00B43BA8"/>
    <w:rsid w:val="00B43CFF"/>
    <w:rsid w:val="00B44120"/>
    <w:rsid w:val="00B450C9"/>
    <w:rsid w:val="00B501F5"/>
    <w:rsid w:val="00B52EE4"/>
    <w:rsid w:val="00B62B3F"/>
    <w:rsid w:val="00B65C18"/>
    <w:rsid w:val="00B6610A"/>
    <w:rsid w:val="00B723B4"/>
    <w:rsid w:val="00B73B85"/>
    <w:rsid w:val="00B754D3"/>
    <w:rsid w:val="00B767C0"/>
    <w:rsid w:val="00B819B1"/>
    <w:rsid w:val="00B84995"/>
    <w:rsid w:val="00B865E3"/>
    <w:rsid w:val="00B913F1"/>
    <w:rsid w:val="00B9291C"/>
    <w:rsid w:val="00B948E9"/>
    <w:rsid w:val="00B95FE9"/>
    <w:rsid w:val="00BA04C9"/>
    <w:rsid w:val="00BA16D6"/>
    <w:rsid w:val="00BA5418"/>
    <w:rsid w:val="00BA6D91"/>
    <w:rsid w:val="00BB0729"/>
    <w:rsid w:val="00BB322E"/>
    <w:rsid w:val="00BB451B"/>
    <w:rsid w:val="00BB5D58"/>
    <w:rsid w:val="00BC1321"/>
    <w:rsid w:val="00BC592F"/>
    <w:rsid w:val="00BD2C18"/>
    <w:rsid w:val="00BD67DE"/>
    <w:rsid w:val="00BE2876"/>
    <w:rsid w:val="00BE36FD"/>
    <w:rsid w:val="00BF2612"/>
    <w:rsid w:val="00BF518B"/>
    <w:rsid w:val="00BF7D39"/>
    <w:rsid w:val="00C112E0"/>
    <w:rsid w:val="00C23A88"/>
    <w:rsid w:val="00C3784D"/>
    <w:rsid w:val="00C410BA"/>
    <w:rsid w:val="00C47CE8"/>
    <w:rsid w:val="00C53DEA"/>
    <w:rsid w:val="00C60A40"/>
    <w:rsid w:val="00C62121"/>
    <w:rsid w:val="00C83FF1"/>
    <w:rsid w:val="00C85568"/>
    <w:rsid w:val="00C873B4"/>
    <w:rsid w:val="00C912E9"/>
    <w:rsid w:val="00C94F73"/>
    <w:rsid w:val="00CA3D7E"/>
    <w:rsid w:val="00CA64BA"/>
    <w:rsid w:val="00CA6CC7"/>
    <w:rsid w:val="00CA6E41"/>
    <w:rsid w:val="00CB4B75"/>
    <w:rsid w:val="00CB61A7"/>
    <w:rsid w:val="00CB7E0E"/>
    <w:rsid w:val="00CC060E"/>
    <w:rsid w:val="00CC2388"/>
    <w:rsid w:val="00CC347B"/>
    <w:rsid w:val="00CC5143"/>
    <w:rsid w:val="00CC6456"/>
    <w:rsid w:val="00CC79D8"/>
    <w:rsid w:val="00CD3357"/>
    <w:rsid w:val="00CD5CD1"/>
    <w:rsid w:val="00CE0705"/>
    <w:rsid w:val="00CE1507"/>
    <w:rsid w:val="00CE4F8A"/>
    <w:rsid w:val="00CF35EB"/>
    <w:rsid w:val="00D01751"/>
    <w:rsid w:val="00D11CBA"/>
    <w:rsid w:val="00D15964"/>
    <w:rsid w:val="00D26D30"/>
    <w:rsid w:val="00D3013D"/>
    <w:rsid w:val="00D32E18"/>
    <w:rsid w:val="00D343E4"/>
    <w:rsid w:val="00D37EFC"/>
    <w:rsid w:val="00D4172A"/>
    <w:rsid w:val="00D42CE0"/>
    <w:rsid w:val="00D42DAE"/>
    <w:rsid w:val="00D4426F"/>
    <w:rsid w:val="00D45E4A"/>
    <w:rsid w:val="00D50313"/>
    <w:rsid w:val="00D505BA"/>
    <w:rsid w:val="00D51710"/>
    <w:rsid w:val="00D528A9"/>
    <w:rsid w:val="00D56FED"/>
    <w:rsid w:val="00D64A7D"/>
    <w:rsid w:val="00D70911"/>
    <w:rsid w:val="00D71698"/>
    <w:rsid w:val="00D71B78"/>
    <w:rsid w:val="00D7216F"/>
    <w:rsid w:val="00D749A8"/>
    <w:rsid w:val="00D86DB9"/>
    <w:rsid w:val="00D94C14"/>
    <w:rsid w:val="00D964B9"/>
    <w:rsid w:val="00DA059F"/>
    <w:rsid w:val="00DA50DC"/>
    <w:rsid w:val="00DB161F"/>
    <w:rsid w:val="00DB6CC5"/>
    <w:rsid w:val="00DC0C67"/>
    <w:rsid w:val="00DC1D87"/>
    <w:rsid w:val="00DD2A02"/>
    <w:rsid w:val="00DD69C5"/>
    <w:rsid w:val="00DE006B"/>
    <w:rsid w:val="00DE6698"/>
    <w:rsid w:val="00DF79F8"/>
    <w:rsid w:val="00E01F88"/>
    <w:rsid w:val="00E03567"/>
    <w:rsid w:val="00E07CB4"/>
    <w:rsid w:val="00E257FC"/>
    <w:rsid w:val="00E25FCA"/>
    <w:rsid w:val="00E30C8D"/>
    <w:rsid w:val="00E3688A"/>
    <w:rsid w:val="00E4212C"/>
    <w:rsid w:val="00E4710B"/>
    <w:rsid w:val="00E522BC"/>
    <w:rsid w:val="00E52E37"/>
    <w:rsid w:val="00E57AC2"/>
    <w:rsid w:val="00E71D4B"/>
    <w:rsid w:val="00E74B13"/>
    <w:rsid w:val="00E8365C"/>
    <w:rsid w:val="00E93983"/>
    <w:rsid w:val="00E958F5"/>
    <w:rsid w:val="00EA3B95"/>
    <w:rsid w:val="00EB2096"/>
    <w:rsid w:val="00EB2E76"/>
    <w:rsid w:val="00EB59F3"/>
    <w:rsid w:val="00EC0A1C"/>
    <w:rsid w:val="00EC5C20"/>
    <w:rsid w:val="00ED10C3"/>
    <w:rsid w:val="00ED2B33"/>
    <w:rsid w:val="00ED5677"/>
    <w:rsid w:val="00EF1F08"/>
    <w:rsid w:val="00EF4C0C"/>
    <w:rsid w:val="00F0102A"/>
    <w:rsid w:val="00F06752"/>
    <w:rsid w:val="00F10543"/>
    <w:rsid w:val="00F13B3F"/>
    <w:rsid w:val="00F1557A"/>
    <w:rsid w:val="00F20503"/>
    <w:rsid w:val="00F260E4"/>
    <w:rsid w:val="00F27A9E"/>
    <w:rsid w:val="00F30676"/>
    <w:rsid w:val="00F342FF"/>
    <w:rsid w:val="00F37AB0"/>
    <w:rsid w:val="00F42787"/>
    <w:rsid w:val="00F44E01"/>
    <w:rsid w:val="00F515E9"/>
    <w:rsid w:val="00F628FB"/>
    <w:rsid w:val="00F62BAF"/>
    <w:rsid w:val="00F6324C"/>
    <w:rsid w:val="00F76C80"/>
    <w:rsid w:val="00F8517E"/>
    <w:rsid w:val="00F8574A"/>
    <w:rsid w:val="00F876AB"/>
    <w:rsid w:val="00F91BAA"/>
    <w:rsid w:val="00F92224"/>
    <w:rsid w:val="00F97657"/>
    <w:rsid w:val="00F97C28"/>
    <w:rsid w:val="00FA16FE"/>
    <w:rsid w:val="00FA5385"/>
    <w:rsid w:val="00FB708D"/>
    <w:rsid w:val="00FD143F"/>
    <w:rsid w:val="00FD397E"/>
    <w:rsid w:val="00FD46F0"/>
    <w:rsid w:val="00FE0329"/>
    <w:rsid w:val="00FE56DB"/>
    <w:rsid w:val="00FF14B7"/>
    <w:rsid w:val="00FF6058"/>
    <w:rsid w:val="00FF629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DD3175"/>
  <w15:docId w15:val="{E94E21DE-7CAD-4B4F-8622-CF48BB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1">
    <w:lsdException w:name="heading 1"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32"/>
    <w:pPr>
      <w:jc w:val="both"/>
    </w:pPr>
  </w:style>
  <w:style w:type="paragraph" w:styleId="Heading1">
    <w:name w:val="heading 1"/>
    <w:basedOn w:val="Normal"/>
    <w:next w:val="Normal"/>
    <w:link w:val="Heading1Char"/>
    <w:uiPriority w:val="9"/>
    <w:qFormat/>
    <w:rsid w:val="00B44120"/>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4120"/>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4120"/>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055C5"/>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55C5"/>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055C5"/>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055C5"/>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055C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55C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20B3C"/>
    <w:rPr>
      <w:rFonts w:ascii="Times New Roman" w:hAnsi="Times New Roman" w:cs="Times New Roman"/>
      <w:sz w:val="18"/>
      <w:szCs w:val="18"/>
    </w:rPr>
  </w:style>
  <w:style w:type="character" w:customStyle="1" w:styleId="BalloonTextChar">
    <w:name w:val="Balloon Text Char"/>
    <w:basedOn w:val="DefaultParagraphFont"/>
    <w:uiPriority w:val="99"/>
    <w:semiHidden/>
    <w:rsid w:val="001F005F"/>
    <w:rPr>
      <w:rFonts w:ascii="Lucida Grande" w:hAnsi="Lucida Grande"/>
      <w:sz w:val="18"/>
      <w:szCs w:val="18"/>
    </w:rPr>
  </w:style>
  <w:style w:type="character" w:customStyle="1" w:styleId="BalloonTextChar0">
    <w:name w:val="Balloon Text Char"/>
    <w:basedOn w:val="DefaultParagraphFont"/>
    <w:uiPriority w:val="99"/>
    <w:semiHidden/>
    <w:rsid w:val="001F005F"/>
    <w:rPr>
      <w:rFonts w:ascii="Lucida Grande" w:hAnsi="Lucida Grande"/>
      <w:sz w:val="18"/>
      <w:szCs w:val="18"/>
    </w:rPr>
  </w:style>
  <w:style w:type="character" w:customStyle="1" w:styleId="BalloonTextChar2">
    <w:name w:val="Balloon Text Char"/>
    <w:basedOn w:val="DefaultParagraphFont"/>
    <w:uiPriority w:val="99"/>
    <w:semiHidden/>
    <w:rsid w:val="001F005F"/>
    <w:rPr>
      <w:rFonts w:ascii="Lucida Grande" w:hAnsi="Lucida Grande"/>
      <w:sz w:val="18"/>
      <w:szCs w:val="18"/>
    </w:rPr>
  </w:style>
  <w:style w:type="paragraph" w:styleId="Title">
    <w:name w:val="Title"/>
    <w:basedOn w:val="Normal"/>
    <w:next w:val="Normal"/>
    <w:link w:val="TitleChar"/>
    <w:uiPriority w:val="10"/>
    <w:qFormat/>
    <w:rsid w:val="00B441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1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1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41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4120"/>
    <w:rPr>
      <w:rFonts w:asciiTheme="majorHAnsi" w:eastAsiaTheme="majorEastAsia" w:hAnsiTheme="majorHAnsi" w:cstheme="majorBidi"/>
      <w:color w:val="1F3763" w:themeColor="accent1" w:themeShade="7F"/>
    </w:rPr>
  </w:style>
  <w:style w:type="table" w:customStyle="1" w:styleId="Thesis">
    <w:name w:val="Thesis"/>
    <w:basedOn w:val="TableNormal"/>
    <w:uiPriority w:val="99"/>
    <w:rsid w:val="00B44120"/>
    <w:pPr>
      <w:jc w:val="center"/>
    </w:pPr>
    <w:rPr>
      <w:rFonts w:ascii="Helvetica" w:eastAsia="MS Mincho" w:hAnsi="Helvetica" w:cs="Times New Roman"/>
      <w:sz w:val="20"/>
      <w:lang w:eastAsia="en-GB"/>
    </w:rPr>
    <w:tblPr>
      <w:tblBorders>
        <w:bottom w:val="single" w:sz="4" w:space="0" w:color="000000"/>
      </w:tblBorders>
    </w:tblPr>
    <w:tcPr>
      <w:vAlign w:val="center"/>
    </w:tcPr>
    <w:tblStylePr w:type="firstRow">
      <w:rPr>
        <w:rFonts w:ascii="Helvetica" w:hAnsi="Helvetica"/>
        <w:sz w:val="20"/>
      </w:rPr>
      <w:tblPr/>
      <w:tcPr>
        <w:tcBorders>
          <w:top w:val="single" w:sz="4" w:space="0" w:color="000000"/>
          <w:bottom w:val="single" w:sz="4" w:space="0" w:color="000000"/>
        </w:tcBorders>
      </w:tcPr>
    </w:tblStylePr>
  </w:style>
  <w:style w:type="paragraph" w:styleId="Caption">
    <w:name w:val="caption"/>
    <w:basedOn w:val="Normal"/>
    <w:next w:val="Normal"/>
    <w:autoRedefine/>
    <w:uiPriority w:val="35"/>
    <w:unhideWhenUsed/>
    <w:qFormat/>
    <w:rsid w:val="00621E06"/>
    <w:pPr>
      <w:spacing w:after="200"/>
    </w:pPr>
    <w:rPr>
      <w:i/>
      <w:iCs/>
      <w:color w:val="44546A" w:themeColor="text2"/>
      <w:sz w:val="18"/>
      <w:szCs w:val="18"/>
    </w:rPr>
  </w:style>
  <w:style w:type="table" w:styleId="TableGrid">
    <w:name w:val="Table Grid"/>
    <w:basedOn w:val="TableNormal"/>
    <w:uiPriority w:val="39"/>
    <w:rsid w:val="00B44120"/>
    <w:pPr>
      <w:jc w:val="center"/>
    </w:pPr>
    <w:rPr>
      <w:rFonts w:ascii="Cambria" w:eastAsia="MS Mincho" w:hAnsi="Cambr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Hannotate SC Regular" w:hAnsi="Hannotate SC Regular"/>
        <w:b/>
        <w:i w:val="0"/>
        <w:sz w:val="20"/>
      </w:rPr>
      <w:tblPr/>
      <w:tcPr>
        <w:vAlign w:val="bottom"/>
      </w:tcPr>
    </w:tblStylePr>
  </w:style>
  <w:style w:type="character" w:customStyle="1" w:styleId="Heading4Char">
    <w:name w:val="Heading 4 Char"/>
    <w:basedOn w:val="DefaultParagraphFont"/>
    <w:link w:val="Heading4"/>
    <w:uiPriority w:val="9"/>
    <w:semiHidden/>
    <w:rsid w:val="009055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055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055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055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055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55C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F2612"/>
    <w:pPr>
      <w:tabs>
        <w:tab w:val="center" w:pos="4513"/>
        <w:tab w:val="right" w:pos="9026"/>
      </w:tabs>
    </w:pPr>
  </w:style>
  <w:style w:type="character" w:customStyle="1" w:styleId="HeaderChar">
    <w:name w:val="Header Char"/>
    <w:basedOn w:val="DefaultParagraphFont"/>
    <w:link w:val="Header"/>
    <w:uiPriority w:val="99"/>
    <w:rsid w:val="00BF2612"/>
  </w:style>
  <w:style w:type="paragraph" w:styleId="Footer">
    <w:name w:val="footer"/>
    <w:basedOn w:val="Normal"/>
    <w:link w:val="FooterChar"/>
    <w:uiPriority w:val="99"/>
    <w:unhideWhenUsed/>
    <w:rsid w:val="00BF2612"/>
    <w:pPr>
      <w:tabs>
        <w:tab w:val="center" w:pos="4513"/>
        <w:tab w:val="right" w:pos="9026"/>
      </w:tabs>
    </w:pPr>
  </w:style>
  <w:style w:type="character" w:customStyle="1" w:styleId="FooterChar">
    <w:name w:val="Footer Char"/>
    <w:basedOn w:val="DefaultParagraphFont"/>
    <w:link w:val="Footer"/>
    <w:uiPriority w:val="99"/>
    <w:rsid w:val="00BF2612"/>
  </w:style>
  <w:style w:type="character" w:styleId="PageNumber">
    <w:name w:val="page number"/>
    <w:basedOn w:val="DefaultParagraphFont"/>
    <w:uiPriority w:val="99"/>
    <w:semiHidden/>
    <w:unhideWhenUsed/>
    <w:rsid w:val="00BF2612"/>
  </w:style>
  <w:style w:type="character" w:styleId="CommentReference">
    <w:name w:val="annotation reference"/>
    <w:basedOn w:val="DefaultParagraphFont"/>
    <w:uiPriority w:val="99"/>
    <w:semiHidden/>
    <w:unhideWhenUsed/>
    <w:rsid w:val="00720B3C"/>
    <w:rPr>
      <w:sz w:val="18"/>
      <w:szCs w:val="18"/>
    </w:rPr>
  </w:style>
  <w:style w:type="paragraph" w:styleId="CommentText">
    <w:name w:val="annotation text"/>
    <w:basedOn w:val="Normal"/>
    <w:link w:val="CommentTextChar"/>
    <w:uiPriority w:val="99"/>
    <w:semiHidden/>
    <w:unhideWhenUsed/>
    <w:rsid w:val="00720B3C"/>
  </w:style>
  <w:style w:type="character" w:customStyle="1" w:styleId="CommentTextChar">
    <w:name w:val="Comment Text Char"/>
    <w:basedOn w:val="DefaultParagraphFont"/>
    <w:link w:val="CommentText"/>
    <w:uiPriority w:val="99"/>
    <w:semiHidden/>
    <w:rsid w:val="00720B3C"/>
  </w:style>
  <w:style w:type="paragraph" w:styleId="CommentSubject">
    <w:name w:val="annotation subject"/>
    <w:basedOn w:val="CommentText"/>
    <w:next w:val="CommentText"/>
    <w:link w:val="CommentSubjectChar"/>
    <w:uiPriority w:val="99"/>
    <w:semiHidden/>
    <w:unhideWhenUsed/>
    <w:rsid w:val="00720B3C"/>
    <w:rPr>
      <w:b/>
      <w:bCs/>
      <w:sz w:val="20"/>
      <w:szCs w:val="20"/>
    </w:rPr>
  </w:style>
  <w:style w:type="character" w:customStyle="1" w:styleId="CommentSubjectChar">
    <w:name w:val="Comment Subject Char"/>
    <w:basedOn w:val="CommentTextChar"/>
    <w:link w:val="CommentSubject"/>
    <w:uiPriority w:val="99"/>
    <w:semiHidden/>
    <w:rsid w:val="00720B3C"/>
    <w:rPr>
      <w:b/>
      <w:bCs/>
      <w:sz w:val="20"/>
      <w:szCs w:val="20"/>
    </w:rPr>
  </w:style>
  <w:style w:type="character" w:customStyle="1" w:styleId="BalloonTextChar1">
    <w:name w:val="Balloon Text Char1"/>
    <w:basedOn w:val="DefaultParagraphFont"/>
    <w:link w:val="BalloonText"/>
    <w:uiPriority w:val="99"/>
    <w:semiHidden/>
    <w:rsid w:val="00720B3C"/>
    <w:rPr>
      <w:rFonts w:ascii="Times New Roman" w:hAnsi="Times New Roman" w:cs="Times New Roman"/>
      <w:sz w:val="18"/>
      <w:szCs w:val="18"/>
    </w:rPr>
  </w:style>
  <w:style w:type="paragraph" w:styleId="ListParagraph">
    <w:name w:val="List Paragraph"/>
    <w:basedOn w:val="Normal"/>
    <w:uiPriority w:val="34"/>
    <w:qFormat/>
    <w:rsid w:val="0011542A"/>
    <w:pPr>
      <w:ind w:left="720"/>
      <w:contextualSpacing/>
    </w:pPr>
  </w:style>
  <w:style w:type="paragraph" w:styleId="NormalWeb">
    <w:name w:val="Normal (Web)"/>
    <w:basedOn w:val="Normal"/>
    <w:uiPriority w:val="99"/>
    <w:semiHidden/>
    <w:unhideWhenUsed/>
    <w:rsid w:val="009F22E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A4E26"/>
  </w:style>
  <w:style w:type="paragraph" w:customStyle="1" w:styleId="EndNoteBibliographyTitle">
    <w:name w:val="EndNote Bibliography Title"/>
    <w:basedOn w:val="Normal"/>
    <w:link w:val="EndNoteBibliographyTitleChar"/>
    <w:rsid w:val="009E07A8"/>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E07A8"/>
    <w:rPr>
      <w:rFonts w:ascii="Calibri" w:hAnsi="Calibri"/>
      <w:noProof/>
    </w:rPr>
  </w:style>
  <w:style w:type="paragraph" w:customStyle="1" w:styleId="EndNoteBibliography">
    <w:name w:val="EndNote Bibliography"/>
    <w:basedOn w:val="Normal"/>
    <w:link w:val="EndNoteBibliographyChar"/>
    <w:rsid w:val="009E07A8"/>
    <w:rPr>
      <w:rFonts w:ascii="Calibri" w:hAnsi="Calibri"/>
      <w:noProof/>
    </w:rPr>
  </w:style>
  <w:style w:type="character" w:customStyle="1" w:styleId="EndNoteBibliographyChar">
    <w:name w:val="EndNote Bibliography Char"/>
    <w:basedOn w:val="DefaultParagraphFont"/>
    <w:link w:val="EndNoteBibliography"/>
    <w:rsid w:val="009E07A8"/>
    <w:rPr>
      <w:rFonts w:ascii="Calibri" w:hAnsi="Calibri"/>
      <w:noProof/>
    </w:rPr>
  </w:style>
  <w:style w:type="character" w:styleId="LineNumber">
    <w:name w:val="line number"/>
    <w:basedOn w:val="DefaultParagraphFont"/>
    <w:semiHidden/>
    <w:unhideWhenUsed/>
    <w:rsid w:val="00296CAD"/>
  </w:style>
  <w:style w:type="paragraph" w:styleId="FootnoteText">
    <w:name w:val="footnote text"/>
    <w:basedOn w:val="Normal"/>
    <w:link w:val="FootnoteTextChar"/>
    <w:unhideWhenUsed/>
    <w:rsid w:val="00981213"/>
  </w:style>
  <w:style w:type="character" w:customStyle="1" w:styleId="FootnoteTextChar">
    <w:name w:val="Footnote Text Char"/>
    <w:basedOn w:val="DefaultParagraphFont"/>
    <w:link w:val="FootnoteText"/>
    <w:rsid w:val="00981213"/>
  </w:style>
  <w:style w:type="character" w:styleId="FootnoteReference">
    <w:name w:val="footnote reference"/>
    <w:basedOn w:val="DefaultParagraphFont"/>
    <w:unhideWhenUsed/>
    <w:rsid w:val="00981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34895">
      <w:bodyDiv w:val="1"/>
      <w:marLeft w:val="0"/>
      <w:marRight w:val="0"/>
      <w:marTop w:val="0"/>
      <w:marBottom w:val="0"/>
      <w:divBdr>
        <w:top w:val="none" w:sz="0" w:space="0" w:color="auto"/>
        <w:left w:val="none" w:sz="0" w:space="0" w:color="auto"/>
        <w:bottom w:val="none" w:sz="0" w:space="0" w:color="auto"/>
        <w:right w:val="none" w:sz="0" w:space="0" w:color="auto"/>
      </w:divBdr>
    </w:div>
    <w:div w:id="755515588">
      <w:bodyDiv w:val="1"/>
      <w:marLeft w:val="0"/>
      <w:marRight w:val="0"/>
      <w:marTop w:val="0"/>
      <w:marBottom w:val="0"/>
      <w:divBdr>
        <w:top w:val="none" w:sz="0" w:space="0" w:color="auto"/>
        <w:left w:val="none" w:sz="0" w:space="0" w:color="auto"/>
        <w:bottom w:val="none" w:sz="0" w:space="0" w:color="auto"/>
        <w:right w:val="none" w:sz="0" w:space="0" w:color="auto"/>
      </w:divBdr>
      <w:divsChild>
        <w:div w:id="191067886">
          <w:marLeft w:val="0"/>
          <w:marRight w:val="0"/>
          <w:marTop w:val="0"/>
          <w:marBottom w:val="0"/>
          <w:divBdr>
            <w:top w:val="none" w:sz="0" w:space="0" w:color="auto"/>
            <w:left w:val="none" w:sz="0" w:space="0" w:color="auto"/>
            <w:bottom w:val="none" w:sz="0" w:space="0" w:color="auto"/>
            <w:right w:val="none" w:sz="0" w:space="0" w:color="auto"/>
          </w:divBdr>
          <w:divsChild>
            <w:div w:id="831873051">
              <w:marLeft w:val="0"/>
              <w:marRight w:val="0"/>
              <w:marTop w:val="0"/>
              <w:marBottom w:val="0"/>
              <w:divBdr>
                <w:top w:val="none" w:sz="0" w:space="0" w:color="auto"/>
                <w:left w:val="none" w:sz="0" w:space="0" w:color="auto"/>
                <w:bottom w:val="none" w:sz="0" w:space="0" w:color="auto"/>
                <w:right w:val="none" w:sz="0" w:space="0" w:color="auto"/>
              </w:divBdr>
              <w:divsChild>
                <w:div w:id="13204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4973">
      <w:bodyDiv w:val="1"/>
      <w:marLeft w:val="0"/>
      <w:marRight w:val="0"/>
      <w:marTop w:val="0"/>
      <w:marBottom w:val="0"/>
      <w:divBdr>
        <w:top w:val="none" w:sz="0" w:space="0" w:color="auto"/>
        <w:left w:val="none" w:sz="0" w:space="0" w:color="auto"/>
        <w:bottom w:val="none" w:sz="0" w:space="0" w:color="auto"/>
        <w:right w:val="none" w:sz="0" w:space="0" w:color="auto"/>
      </w:divBdr>
    </w:div>
    <w:div w:id="1040786359">
      <w:bodyDiv w:val="1"/>
      <w:marLeft w:val="0"/>
      <w:marRight w:val="0"/>
      <w:marTop w:val="0"/>
      <w:marBottom w:val="0"/>
      <w:divBdr>
        <w:top w:val="none" w:sz="0" w:space="0" w:color="auto"/>
        <w:left w:val="none" w:sz="0" w:space="0" w:color="auto"/>
        <w:bottom w:val="none" w:sz="0" w:space="0" w:color="auto"/>
        <w:right w:val="none" w:sz="0" w:space="0" w:color="auto"/>
      </w:divBdr>
      <w:divsChild>
        <w:div w:id="220485466">
          <w:marLeft w:val="0"/>
          <w:marRight w:val="0"/>
          <w:marTop w:val="0"/>
          <w:marBottom w:val="0"/>
          <w:divBdr>
            <w:top w:val="none" w:sz="0" w:space="0" w:color="auto"/>
            <w:left w:val="none" w:sz="0" w:space="0" w:color="auto"/>
            <w:bottom w:val="none" w:sz="0" w:space="0" w:color="auto"/>
            <w:right w:val="none" w:sz="0" w:space="0" w:color="auto"/>
          </w:divBdr>
          <w:divsChild>
            <w:div w:id="1068961810">
              <w:marLeft w:val="0"/>
              <w:marRight w:val="0"/>
              <w:marTop w:val="0"/>
              <w:marBottom w:val="0"/>
              <w:divBdr>
                <w:top w:val="none" w:sz="0" w:space="0" w:color="auto"/>
                <w:left w:val="none" w:sz="0" w:space="0" w:color="auto"/>
                <w:bottom w:val="none" w:sz="0" w:space="0" w:color="auto"/>
                <w:right w:val="none" w:sz="0" w:space="0" w:color="auto"/>
              </w:divBdr>
              <w:divsChild>
                <w:div w:id="1442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5531">
      <w:bodyDiv w:val="1"/>
      <w:marLeft w:val="0"/>
      <w:marRight w:val="0"/>
      <w:marTop w:val="0"/>
      <w:marBottom w:val="0"/>
      <w:divBdr>
        <w:top w:val="none" w:sz="0" w:space="0" w:color="auto"/>
        <w:left w:val="none" w:sz="0" w:space="0" w:color="auto"/>
        <w:bottom w:val="none" w:sz="0" w:space="0" w:color="auto"/>
        <w:right w:val="none" w:sz="0" w:space="0" w:color="auto"/>
      </w:divBdr>
    </w:div>
    <w:div w:id="1667979794">
      <w:bodyDiv w:val="1"/>
      <w:marLeft w:val="0"/>
      <w:marRight w:val="0"/>
      <w:marTop w:val="0"/>
      <w:marBottom w:val="0"/>
      <w:divBdr>
        <w:top w:val="none" w:sz="0" w:space="0" w:color="auto"/>
        <w:left w:val="none" w:sz="0" w:space="0" w:color="auto"/>
        <w:bottom w:val="none" w:sz="0" w:space="0" w:color="auto"/>
        <w:right w:val="none" w:sz="0" w:space="0" w:color="auto"/>
      </w:divBdr>
    </w:div>
    <w:div w:id="2026589416">
      <w:bodyDiv w:val="1"/>
      <w:marLeft w:val="0"/>
      <w:marRight w:val="0"/>
      <w:marTop w:val="0"/>
      <w:marBottom w:val="0"/>
      <w:divBdr>
        <w:top w:val="none" w:sz="0" w:space="0" w:color="auto"/>
        <w:left w:val="none" w:sz="0" w:space="0" w:color="auto"/>
        <w:bottom w:val="none" w:sz="0" w:space="0" w:color="auto"/>
        <w:right w:val="none" w:sz="0" w:space="0" w:color="auto"/>
      </w:divBdr>
      <w:divsChild>
        <w:div w:id="1974823062">
          <w:marLeft w:val="0"/>
          <w:marRight w:val="0"/>
          <w:marTop w:val="0"/>
          <w:marBottom w:val="0"/>
          <w:divBdr>
            <w:top w:val="none" w:sz="0" w:space="0" w:color="auto"/>
            <w:left w:val="none" w:sz="0" w:space="0" w:color="auto"/>
            <w:bottom w:val="none" w:sz="0" w:space="0" w:color="auto"/>
            <w:right w:val="none" w:sz="0" w:space="0" w:color="auto"/>
          </w:divBdr>
          <w:divsChild>
            <w:div w:id="1675763700">
              <w:marLeft w:val="0"/>
              <w:marRight w:val="0"/>
              <w:marTop w:val="0"/>
              <w:marBottom w:val="0"/>
              <w:divBdr>
                <w:top w:val="none" w:sz="0" w:space="0" w:color="auto"/>
                <w:left w:val="none" w:sz="0" w:space="0" w:color="auto"/>
                <w:bottom w:val="none" w:sz="0" w:space="0" w:color="auto"/>
                <w:right w:val="none" w:sz="0" w:space="0" w:color="auto"/>
              </w:divBdr>
              <w:divsChild>
                <w:div w:id="16736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 Id="rId30"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acky\Desktop\EoL%20Impact%20Model%20V4.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Jacky\Desktop\JCP%20Paper\EoL%20Impact%20Model%20V4.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acky\Desktop\EoL%20Impact%20Model%20V4.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acky\Desktop\JCP%20Paper\EoL%20Impact%20Model%20V4.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zzfm1\Dropbox\PhD\Journal%20paper\Journal%207\EoL%20Impact%20Model%20V4.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zzfm1\Dropbox\PhD\Journal%20paper\Journal%207\EoL%20Impact%20Model%20V4.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zzfm1\Dropbox\PhD\Journal%20paper\Journal%207\EoL%20Impact%20Model%20V4.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zzfm1\Dropbox\PhD\Journal%20paper\Journal%207\EoL%20Impact%20Model%20V4.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zzfm1\Dropbox\PhD\Journal%20paper\Journal%207\EoL%20Impact%20Model%20V4.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zzfm1\Dropbox\PhD\Journal%20paper\Journal%207\EoL%20Impact%20Model%20V4.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'Impact of GF'!$A$75</c:f>
              <c:strCache>
                <c:ptCount val="1"/>
                <c:pt idx="0">
                  <c:v>Manufacture+O&amp;M+Transportation</c:v>
                </c:pt>
              </c:strCache>
            </c:strRef>
          </c:tx>
          <c:spPr>
            <a:solidFill>
              <a:schemeClr val="accent1"/>
            </a:solidFill>
            <a:ln>
              <a:noFill/>
            </a:ln>
            <a:effectLst/>
          </c:spPr>
          <c:invertIfNegative val="0"/>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GF'!$B$75:$L$75</c:f>
              <c:numCache>
                <c:formatCode>0.00</c:formatCode>
                <c:ptCount val="11"/>
                <c:pt idx="0">
                  <c:v>875.38893500000006</c:v>
                </c:pt>
                <c:pt idx="1">
                  <c:v>875.38893500000006</c:v>
                </c:pt>
                <c:pt idx="2">
                  <c:v>875.38893500000006</c:v>
                </c:pt>
                <c:pt idx="3">
                  <c:v>875.38893500000006</c:v>
                </c:pt>
                <c:pt idx="4">
                  <c:v>875.38893500000006</c:v>
                </c:pt>
                <c:pt idx="5">
                  <c:v>875.38893500000006</c:v>
                </c:pt>
                <c:pt idx="6">
                  <c:v>875.38893500000006</c:v>
                </c:pt>
                <c:pt idx="7">
                  <c:v>875.38893500000006</c:v>
                </c:pt>
                <c:pt idx="8">
                  <c:v>875.38893500000006</c:v>
                </c:pt>
                <c:pt idx="9">
                  <c:v>875.38893500000006</c:v>
                </c:pt>
                <c:pt idx="10">
                  <c:v>875.38893500000006</c:v>
                </c:pt>
              </c:numCache>
            </c:numRef>
          </c:val>
          <c:extLst xmlns:c16r2="http://schemas.microsoft.com/office/drawing/2015/06/chart">
            <c:ext xmlns:c16="http://schemas.microsoft.com/office/drawing/2014/chart" uri="{C3380CC4-5D6E-409C-BE32-E72D297353CC}">
              <c16:uniqueId val="{00000000-DBBC-D444-9F1E-52F0C09CB88C}"/>
            </c:ext>
          </c:extLst>
        </c:ser>
        <c:ser>
          <c:idx val="1"/>
          <c:order val="1"/>
          <c:tx>
            <c:strRef>
              <c:f>'Impact of GF'!$A$76</c:f>
              <c:strCache>
                <c:ptCount val="1"/>
                <c:pt idx="0">
                  <c:v>EoL process</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GF'!$B$76:$L$76</c:f>
              <c:numCache>
                <c:formatCode>0.00</c:formatCode>
                <c:ptCount val="11"/>
                <c:pt idx="0">
                  <c:v>1.9703839999999999</c:v>
                </c:pt>
                <c:pt idx="1">
                  <c:v>0.682056</c:v>
                </c:pt>
                <c:pt idx="2">
                  <c:v>2.27352</c:v>
                </c:pt>
                <c:pt idx="3">
                  <c:v>168.24047999999999</c:v>
                </c:pt>
                <c:pt idx="4">
                  <c:v>160.66208</c:v>
                </c:pt>
                <c:pt idx="5">
                  <c:v>75.784000000000006</c:v>
                </c:pt>
                <c:pt idx="6">
                  <c:v>145.50528</c:v>
                </c:pt>
                <c:pt idx="7">
                  <c:v>122.77007999999999</c:v>
                </c:pt>
                <c:pt idx="8">
                  <c:v>4.1400000000000006</c:v>
                </c:pt>
                <c:pt idx="9">
                  <c:v>10.35</c:v>
                </c:pt>
                <c:pt idx="10">
                  <c:v>20.7</c:v>
                </c:pt>
              </c:numCache>
            </c:numRef>
          </c:val>
          <c:extLst xmlns:c16r2="http://schemas.microsoft.com/office/drawing/2015/06/chart">
            <c:ext xmlns:c16="http://schemas.microsoft.com/office/drawing/2014/chart" uri="{C3380CC4-5D6E-409C-BE32-E72D297353CC}">
              <c16:uniqueId val="{00000001-DBBC-D444-9F1E-52F0C09CB88C}"/>
            </c:ext>
          </c:extLst>
        </c:ser>
        <c:ser>
          <c:idx val="2"/>
          <c:order val="2"/>
          <c:tx>
            <c:strRef>
              <c:f>'Impact of GF'!$A$77</c:f>
              <c:strCache>
                <c:ptCount val="1"/>
                <c:pt idx="0">
                  <c:v>Benefits from EoL</c:v>
                </c:pt>
              </c:strCache>
            </c:strRef>
          </c:tx>
          <c:spPr>
            <a:solidFill>
              <a:schemeClr val="accent3"/>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DBBC-D444-9F1E-52F0C09CB88C}"/>
                </c:ext>
                <c:ext xmlns:c15="http://schemas.microsoft.com/office/drawing/2012/chart" uri="{CE6537A1-D6FC-4f65-9D91-7224C49458BB}"/>
              </c:extLst>
            </c:dLbl>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GF'!$B$77:$L$77</c:f>
              <c:numCache>
                <c:formatCode>0.00</c:formatCode>
                <c:ptCount val="11"/>
                <c:pt idx="0">
                  <c:v>0</c:v>
                </c:pt>
                <c:pt idx="1">
                  <c:v>-31.538269440000001</c:v>
                </c:pt>
                <c:pt idx="2">
                  <c:v>-92.18242343447281</c:v>
                </c:pt>
                <c:pt idx="3">
                  <c:v>-44.597205338400009</c:v>
                </c:pt>
                <c:pt idx="4">
                  <c:v>-73.78810337808001</c:v>
                </c:pt>
                <c:pt idx="5">
                  <c:v>-73.78810337808001</c:v>
                </c:pt>
                <c:pt idx="6">
                  <c:v>-265.81718903760009</c:v>
                </c:pt>
                <c:pt idx="7">
                  <c:v>-160.54993921824001</c:v>
                </c:pt>
                <c:pt idx="8">
                  <c:v>-87.5388935</c:v>
                </c:pt>
                <c:pt idx="9">
                  <c:v>-218.84723374999999</c:v>
                </c:pt>
                <c:pt idx="10">
                  <c:v>-437.69446750000009</c:v>
                </c:pt>
              </c:numCache>
            </c:numRef>
          </c:val>
          <c:extLst xmlns:c16r2="http://schemas.microsoft.com/office/drawing/2015/06/chart">
            <c:ext xmlns:c16="http://schemas.microsoft.com/office/drawing/2014/chart" uri="{C3380CC4-5D6E-409C-BE32-E72D297353CC}">
              <c16:uniqueId val="{00000003-DBBC-D444-9F1E-52F0C09CB88C}"/>
            </c:ext>
          </c:extLst>
        </c:ser>
        <c:ser>
          <c:idx val="3"/>
          <c:order val="3"/>
          <c:tx>
            <c:strRef>
              <c:f>'Impact of GF'!$A$78</c:f>
              <c:strCache>
                <c:ptCount val="1"/>
                <c:pt idx="0">
                  <c:v>Net Impact GF</c:v>
                </c:pt>
              </c:strCache>
            </c:strRef>
          </c:tx>
          <c:spPr>
            <a:solidFill>
              <a:schemeClr val="accent4"/>
            </a:solidFill>
            <a:ln>
              <a:noFill/>
            </a:ln>
            <a:effectLst/>
          </c:spPr>
          <c:invertIfNegative val="0"/>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GF'!$B$78:$L$78</c:f>
            </c:numRef>
          </c:val>
          <c:extLst xmlns:c16r2="http://schemas.microsoft.com/office/drawing/2015/06/chart">
            <c:ext xmlns:c16="http://schemas.microsoft.com/office/drawing/2014/chart" uri="{C3380CC4-5D6E-409C-BE32-E72D297353CC}">
              <c16:uniqueId val="{00000004-DBBC-D444-9F1E-52F0C09CB88C}"/>
            </c:ext>
          </c:extLst>
        </c:ser>
        <c:dLbls>
          <c:showLegendKey val="0"/>
          <c:showVal val="0"/>
          <c:showCatName val="0"/>
          <c:showSerName val="0"/>
          <c:showPercent val="0"/>
          <c:showBubbleSize val="0"/>
        </c:dLbls>
        <c:gapWidth val="150"/>
        <c:overlap val="100"/>
        <c:axId val="852177336"/>
        <c:axId val="852177728"/>
      </c:barChart>
      <c:lineChart>
        <c:grouping val="standard"/>
        <c:varyColors val="0"/>
        <c:ser>
          <c:idx val="4"/>
          <c:order val="4"/>
          <c:tx>
            <c:strRef>
              <c:f>'Impact of GF'!$A$79</c:f>
              <c:strCache>
                <c:ptCount val="1"/>
                <c:pt idx="0">
                  <c:v>Compare to benchmark</c:v>
                </c:pt>
              </c:strCache>
            </c:strRef>
          </c:tx>
          <c:spPr>
            <a:ln w="2222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GF'!$B$79:$L$79</c:f>
              <c:numCache>
                <c:formatCode>0%</c:formatCode>
                <c:ptCount val="11"/>
                <c:pt idx="0">
                  <c:v>1</c:v>
                </c:pt>
                <c:pt idx="1">
                  <c:v>0.96258477373054496</c:v>
                </c:pt>
                <c:pt idx="2">
                  <c:v>0.89527747019408699</c:v>
                </c:pt>
                <c:pt idx="3">
                  <c:v>1.1386807981936999</c:v>
                </c:pt>
                <c:pt idx="4">
                  <c:v>1.0967717453764461</c:v>
                </c:pt>
                <c:pt idx="5">
                  <c:v>1.000029078874946</c:v>
                </c:pt>
                <c:pt idx="6">
                  <c:v>0.86062461480778996</c:v>
                </c:pt>
                <c:pt idx="7">
                  <c:v>0.95469331395083801</c:v>
                </c:pt>
                <c:pt idx="8">
                  <c:v>0.90269747451101101</c:v>
                </c:pt>
                <c:pt idx="9">
                  <c:v>0.76011240412891801</c:v>
                </c:pt>
                <c:pt idx="10">
                  <c:v>0.522470620158763</c:v>
                </c:pt>
              </c:numCache>
            </c:numRef>
          </c:val>
          <c:smooth val="0"/>
          <c:extLst xmlns:c16r2="http://schemas.microsoft.com/office/drawing/2015/06/chart">
            <c:ext xmlns:c16="http://schemas.microsoft.com/office/drawing/2014/chart" uri="{C3380CC4-5D6E-409C-BE32-E72D297353CC}">
              <c16:uniqueId val="{00000005-DBBC-D444-9F1E-52F0C09CB88C}"/>
            </c:ext>
          </c:extLst>
        </c:ser>
        <c:dLbls>
          <c:showLegendKey val="0"/>
          <c:showVal val="0"/>
          <c:showCatName val="0"/>
          <c:showSerName val="0"/>
          <c:showPercent val="0"/>
          <c:showBubbleSize val="0"/>
        </c:dLbls>
        <c:marker val="1"/>
        <c:smooth val="0"/>
        <c:axId val="852178512"/>
        <c:axId val="852178120"/>
      </c:lineChart>
      <c:catAx>
        <c:axId val="8521773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52177728"/>
        <c:crosses val="autoZero"/>
        <c:auto val="1"/>
        <c:lblAlgn val="ctr"/>
        <c:lblOffset val="100"/>
        <c:noMultiLvlLbl val="0"/>
      </c:catAx>
      <c:valAx>
        <c:axId val="852177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Energy consumption per blade/gj</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52177336"/>
        <c:crosses val="autoZero"/>
        <c:crossBetween val="between"/>
      </c:valAx>
      <c:valAx>
        <c:axId val="852178120"/>
        <c:scaling>
          <c:orientation val="minMax"/>
          <c:max val="1.5"/>
          <c:min val="-0.3"/>
        </c:scaling>
        <c:delete val="0"/>
        <c:axPos val="r"/>
        <c:numFmt formatCode="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52178512"/>
        <c:crosses val="max"/>
        <c:crossBetween val="between"/>
      </c:valAx>
      <c:catAx>
        <c:axId val="852178512"/>
        <c:scaling>
          <c:orientation val="minMax"/>
        </c:scaling>
        <c:delete val="1"/>
        <c:axPos val="b"/>
        <c:numFmt formatCode="General" sourceLinked="1"/>
        <c:majorTickMark val="none"/>
        <c:minorTickMark val="none"/>
        <c:tickLblPos val="nextTo"/>
        <c:crossAx val="8521781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0481007582385E-2"/>
          <c:y val="9.7559617547806496E-2"/>
          <c:w val="0.969907407407407"/>
          <c:h val="0.74396812898387699"/>
        </c:manualLayout>
      </c:layout>
      <c:lineChart>
        <c:grouping val="standard"/>
        <c:varyColors val="0"/>
        <c:ser>
          <c:idx val="0"/>
          <c:order val="0"/>
          <c:tx>
            <c:strRef>
              <c:f>Test!$A$38</c:f>
              <c:strCache>
                <c:ptCount val="1"/>
                <c:pt idx="0">
                  <c:v>GF</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Test!$B$20:$L$20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Test!$B$38:$L$38</c:f>
              <c:numCache>
                <c:formatCode>0%</c:formatCode>
                <c:ptCount val="11"/>
                <c:pt idx="0">
                  <c:v>1</c:v>
                </c:pt>
                <c:pt idx="1">
                  <c:v>0.96182119768423002</c:v>
                </c:pt>
                <c:pt idx="2">
                  <c:v>0.89501833805167197</c:v>
                </c:pt>
                <c:pt idx="3">
                  <c:v>1.1386807981936999</c:v>
                </c:pt>
                <c:pt idx="4">
                  <c:v>1.0968581227572509</c:v>
                </c:pt>
                <c:pt idx="5">
                  <c:v>1.000029078874946</c:v>
                </c:pt>
                <c:pt idx="6">
                  <c:v>0.86062461480778996</c:v>
                </c:pt>
                <c:pt idx="7">
                  <c:v>0.95469331395083801</c:v>
                </c:pt>
                <c:pt idx="8">
                  <c:v>0.90269747451101101</c:v>
                </c:pt>
                <c:pt idx="9">
                  <c:v>0.76011240412891801</c:v>
                </c:pt>
                <c:pt idx="10">
                  <c:v>0.522470620158763</c:v>
                </c:pt>
              </c:numCache>
            </c:numRef>
          </c:val>
          <c:smooth val="0"/>
          <c:extLst xmlns:c16r2="http://schemas.microsoft.com/office/drawing/2015/06/chart">
            <c:ext xmlns:c16="http://schemas.microsoft.com/office/drawing/2014/chart" uri="{C3380CC4-5D6E-409C-BE32-E72D297353CC}">
              <c16:uniqueId val="{00000000-2F20-D446-AAD0-172859CC6520}"/>
            </c:ext>
          </c:extLst>
        </c:ser>
        <c:ser>
          <c:idx val="1"/>
          <c:order val="1"/>
          <c:tx>
            <c:strRef>
              <c:f>Test!$A$39</c:f>
              <c:strCache>
                <c:ptCount val="1"/>
                <c:pt idx="0">
                  <c:v>Hybrid</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Test!$B$20:$L$20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Test!$B$39:$L$39</c:f>
              <c:numCache>
                <c:formatCode>0%</c:formatCode>
                <c:ptCount val="11"/>
                <c:pt idx="0">
                  <c:v>1</c:v>
                </c:pt>
                <c:pt idx="1">
                  <c:v>0.96984396445765397</c:v>
                </c:pt>
                <c:pt idx="2">
                  <c:v>0.87656152248751196</c:v>
                </c:pt>
                <c:pt idx="3">
                  <c:v>0.93325432569976896</c:v>
                </c:pt>
                <c:pt idx="4">
                  <c:v>0.97869419423422799</c:v>
                </c:pt>
                <c:pt idx="5">
                  <c:v>0.90221248418226097</c:v>
                </c:pt>
                <c:pt idx="6">
                  <c:v>0.71746300756163495</c:v>
                </c:pt>
                <c:pt idx="7">
                  <c:v>0.843607890059343</c:v>
                </c:pt>
                <c:pt idx="8">
                  <c:v>0.90317934673364997</c:v>
                </c:pt>
                <c:pt idx="9">
                  <c:v>0.76060919349962597</c:v>
                </c:pt>
                <c:pt idx="10">
                  <c:v>0.52299227144291904</c:v>
                </c:pt>
              </c:numCache>
            </c:numRef>
          </c:val>
          <c:smooth val="0"/>
          <c:extLst xmlns:c16r2="http://schemas.microsoft.com/office/drawing/2015/06/chart">
            <c:ext xmlns:c16="http://schemas.microsoft.com/office/drawing/2014/chart" uri="{C3380CC4-5D6E-409C-BE32-E72D297353CC}">
              <c16:uniqueId val="{00000001-2F20-D446-AAD0-172859CC6520}"/>
            </c:ext>
          </c:extLst>
        </c:ser>
        <c:ser>
          <c:idx val="2"/>
          <c:order val="2"/>
          <c:tx>
            <c:strRef>
              <c:f>Test!$A$40</c:f>
              <c:strCache>
                <c:ptCount val="1"/>
                <c:pt idx="0">
                  <c:v>CF</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Test!$B$20:$L$20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Test!$B$40:$L$40</c:f>
              <c:numCache>
                <c:formatCode>0%</c:formatCode>
                <c:ptCount val="11"/>
                <c:pt idx="0">
                  <c:v>1</c:v>
                </c:pt>
                <c:pt idx="1">
                  <c:v>0.98358043299895503</c:v>
                </c:pt>
                <c:pt idx="2">
                  <c:v>0.86925749401177699</c:v>
                </c:pt>
                <c:pt idx="3">
                  <c:v>0.72963311654580598</c:v>
                </c:pt>
                <c:pt idx="4">
                  <c:v>0.832866285960848</c:v>
                </c:pt>
                <c:pt idx="5">
                  <c:v>0.791222994992133</c:v>
                </c:pt>
                <c:pt idx="6">
                  <c:v>0.55691075202519402</c:v>
                </c:pt>
                <c:pt idx="7">
                  <c:v>0.72407757222276303</c:v>
                </c:pt>
                <c:pt idx="8">
                  <c:v>0.904323270942748</c:v>
                </c:pt>
                <c:pt idx="9">
                  <c:v>0.76225696268049303</c:v>
                </c:pt>
                <c:pt idx="10">
                  <c:v>0.52547978224339997</c:v>
                </c:pt>
              </c:numCache>
            </c:numRef>
          </c:val>
          <c:smooth val="0"/>
          <c:extLst xmlns:c16r2="http://schemas.microsoft.com/office/drawing/2015/06/chart">
            <c:ext xmlns:c16="http://schemas.microsoft.com/office/drawing/2014/chart" uri="{C3380CC4-5D6E-409C-BE32-E72D297353CC}">
              <c16:uniqueId val="{00000002-2F20-D446-AAD0-172859CC6520}"/>
            </c:ext>
          </c:extLst>
        </c:ser>
        <c:dLbls>
          <c:showLegendKey val="0"/>
          <c:showVal val="1"/>
          <c:showCatName val="0"/>
          <c:showSerName val="0"/>
          <c:showPercent val="0"/>
          <c:showBubbleSize val="0"/>
        </c:dLbls>
        <c:marker val="1"/>
        <c:smooth val="0"/>
        <c:axId val="948243552"/>
        <c:axId val="948243944"/>
      </c:lineChart>
      <c:catAx>
        <c:axId val="9482435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1800000" spcFirstLastPara="1" vertOverflow="ellipsis" wrap="square" anchor="ctr" anchorCtr="1"/>
          <a:lstStyle/>
          <a:p>
            <a:pPr>
              <a:defRPr sz="900" b="0" i="0" u="none" strike="noStrike" kern="1200" cap="all" baseline="0">
                <a:solidFill>
                  <a:schemeClr val="tx1"/>
                </a:solidFill>
                <a:latin typeface="+mn-lt"/>
                <a:ea typeface="+mn-ea"/>
                <a:cs typeface="+mn-cs"/>
              </a:defRPr>
            </a:pPr>
            <a:endParaRPr lang="en-US"/>
          </a:p>
        </c:txPr>
        <c:crossAx val="948243944"/>
        <c:crosses val="autoZero"/>
        <c:auto val="0"/>
        <c:lblAlgn val="ctr"/>
        <c:lblOffset val="100"/>
        <c:noMultiLvlLbl val="0"/>
      </c:catAx>
      <c:valAx>
        <c:axId val="9482439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a:t>Net impacts compared to landfill in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crossAx val="948243552"/>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'Impact of Hybrid'!$A$38</c:f>
              <c:strCache>
                <c:ptCount val="1"/>
                <c:pt idx="0">
                  <c:v>Manufacture+O&amp;M+Transportation</c:v>
                </c:pt>
              </c:strCache>
            </c:strRef>
          </c:tx>
          <c:spPr>
            <a:solidFill>
              <a:schemeClr val="accent1"/>
            </a:solidFill>
            <a:ln>
              <a:noFill/>
            </a:ln>
            <a:effectLst/>
          </c:spPr>
          <c:invertIfNegative val="0"/>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Hybrid'!$B$38:$L$38</c:f>
              <c:numCache>
                <c:formatCode>0.0</c:formatCode>
                <c:ptCount val="11"/>
                <c:pt idx="0">
                  <c:v>1097.332429</c:v>
                </c:pt>
                <c:pt idx="1">
                  <c:v>1097.332429</c:v>
                </c:pt>
                <c:pt idx="2">
                  <c:v>1097.332429</c:v>
                </c:pt>
                <c:pt idx="3">
                  <c:v>1097.332429</c:v>
                </c:pt>
                <c:pt idx="4">
                  <c:v>1097.332429</c:v>
                </c:pt>
                <c:pt idx="5">
                  <c:v>1097.332429</c:v>
                </c:pt>
                <c:pt idx="6">
                  <c:v>1097.332429</c:v>
                </c:pt>
                <c:pt idx="7">
                  <c:v>1097.332429</c:v>
                </c:pt>
                <c:pt idx="8">
                  <c:v>1097.332429</c:v>
                </c:pt>
                <c:pt idx="9">
                  <c:v>1097.332429</c:v>
                </c:pt>
                <c:pt idx="10">
                  <c:v>1097.332429</c:v>
                </c:pt>
              </c:numCache>
            </c:numRef>
          </c:val>
          <c:extLst xmlns:c16r2="http://schemas.microsoft.com/office/drawing/2015/06/chart">
            <c:ext xmlns:c16="http://schemas.microsoft.com/office/drawing/2014/chart" uri="{C3380CC4-5D6E-409C-BE32-E72D297353CC}">
              <c16:uniqueId val="{00000000-AD43-5A4B-A2E7-6C489881D280}"/>
            </c:ext>
          </c:extLst>
        </c:ser>
        <c:ser>
          <c:idx val="1"/>
          <c:order val="1"/>
          <c:tx>
            <c:strRef>
              <c:f>'Impact of Hybrid'!$A$39</c:f>
              <c:strCache>
                <c:ptCount val="1"/>
                <c:pt idx="0">
                  <c:v>EoL process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Hybrid'!$B$39:$L$39</c:f>
              <c:numCache>
                <c:formatCode>0.0</c:formatCode>
                <c:ptCount val="11"/>
                <c:pt idx="0">
                  <c:v>1.9499999999999991</c:v>
                </c:pt>
                <c:pt idx="1">
                  <c:v>0.67500000000000004</c:v>
                </c:pt>
                <c:pt idx="2">
                  <c:v>2.0249999999999999</c:v>
                </c:pt>
                <c:pt idx="3">
                  <c:v>166.5</c:v>
                </c:pt>
                <c:pt idx="4">
                  <c:v>159</c:v>
                </c:pt>
                <c:pt idx="5">
                  <c:v>75</c:v>
                </c:pt>
                <c:pt idx="6">
                  <c:v>144</c:v>
                </c:pt>
                <c:pt idx="7">
                  <c:v>121.5</c:v>
                </c:pt>
                <c:pt idx="8">
                  <c:v>5.25</c:v>
                </c:pt>
                <c:pt idx="9">
                  <c:v>13.125</c:v>
                </c:pt>
                <c:pt idx="10">
                  <c:v>26.249999999999989</c:v>
                </c:pt>
              </c:numCache>
            </c:numRef>
          </c:val>
          <c:extLst xmlns:c16r2="http://schemas.microsoft.com/office/drawing/2015/06/chart">
            <c:ext xmlns:c16="http://schemas.microsoft.com/office/drawing/2014/chart" uri="{C3380CC4-5D6E-409C-BE32-E72D297353CC}">
              <c16:uniqueId val="{00000001-AD43-5A4B-A2E7-6C489881D280}"/>
            </c:ext>
          </c:extLst>
        </c:ser>
        <c:ser>
          <c:idx val="2"/>
          <c:order val="2"/>
          <c:tx>
            <c:strRef>
              <c:f>'Impact of Hybrid'!$A$40</c:f>
              <c:strCache>
                <c:ptCount val="1"/>
                <c:pt idx="0">
                  <c:v>Benefits from EoL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Hybrid'!$B$40:$L$40</c:f>
              <c:numCache>
                <c:formatCode>0.0</c:formatCode>
                <c:ptCount val="11"/>
                <c:pt idx="0">
                  <c:v>0</c:v>
                </c:pt>
                <c:pt idx="1">
                  <c:v>-31.212</c:v>
                </c:pt>
                <c:pt idx="2">
                  <c:v>-135.76874939199001</c:v>
                </c:pt>
                <c:pt idx="3">
                  <c:v>-188.42234697000001</c:v>
                </c:pt>
                <c:pt idx="4">
                  <c:v>-180.546097914</c:v>
                </c:pt>
                <c:pt idx="5">
                  <c:v>-180.546097914</c:v>
                </c:pt>
                <c:pt idx="6">
                  <c:v>-452.63795133000002</c:v>
                </c:pt>
                <c:pt idx="7">
                  <c:v>-291.46909849199892</c:v>
                </c:pt>
                <c:pt idx="8">
                  <c:v>-109.73324289999999</c:v>
                </c:pt>
                <c:pt idx="9">
                  <c:v>-274.33310724999859</c:v>
                </c:pt>
                <c:pt idx="10">
                  <c:v>-548.66621449999718</c:v>
                </c:pt>
              </c:numCache>
            </c:numRef>
          </c:val>
          <c:extLst xmlns:c16r2="http://schemas.microsoft.com/office/drawing/2015/06/chart">
            <c:ext xmlns:c16="http://schemas.microsoft.com/office/drawing/2014/chart" uri="{C3380CC4-5D6E-409C-BE32-E72D297353CC}">
              <c16:uniqueId val="{00000002-AD43-5A4B-A2E7-6C489881D280}"/>
            </c:ext>
          </c:extLst>
        </c:ser>
        <c:ser>
          <c:idx val="3"/>
          <c:order val="3"/>
          <c:tx>
            <c:strRef>
              <c:f>'Impact of GF'!$A$78</c:f>
              <c:strCache>
                <c:ptCount val="1"/>
                <c:pt idx="0">
                  <c:v>Net Impact GF</c:v>
                </c:pt>
              </c:strCache>
            </c:strRef>
          </c:tx>
          <c:spPr>
            <a:solidFill>
              <a:schemeClr val="accent4"/>
            </a:solidFill>
            <a:ln>
              <a:noFill/>
            </a:ln>
            <a:effectLst/>
          </c:spPr>
          <c:invertIfNegative val="0"/>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GF'!$B$78:$L$78</c:f>
            </c:numRef>
          </c:val>
          <c:extLst xmlns:c16r2="http://schemas.microsoft.com/office/drawing/2015/06/chart">
            <c:ext xmlns:c16="http://schemas.microsoft.com/office/drawing/2014/chart" uri="{C3380CC4-5D6E-409C-BE32-E72D297353CC}">
              <c16:uniqueId val="{00000003-AD43-5A4B-A2E7-6C489881D280}"/>
            </c:ext>
          </c:extLst>
        </c:ser>
        <c:dLbls>
          <c:showLegendKey val="0"/>
          <c:showVal val="0"/>
          <c:showCatName val="0"/>
          <c:showSerName val="0"/>
          <c:showPercent val="0"/>
          <c:showBubbleSize val="0"/>
        </c:dLbls>
        <c:gapWidth val="150"/>
        <c:overlap val="100"/>
        <c:axId val="949260288"/>
        <c:axId val="949260680"/>
      </c:barChart>
      <c:lineChart>
        <c:grouping val="standard"/>
        <c:varyColors val="0"/>
        <c:ser>
          <c:idx val="4"/>
          <c:order val="4"/>
          <c:tx>
            <c:strRef>
              <c:f>'Impact of Hybrid'!$A$41</c:f>
              <c:strCache>
                <c:ptCount val="1"/>
                <c:pt idx="0">
                  <c:v>Compare to benchmark</c:v>
                </c:pt>
              </c:strCache>
            </c:strRef>
          </c:tx>
          <c:spPr>
            <a:ln w="2222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Hybrid'!$B$41:$L$41</c:f>
              <c:numCache>
                <c:formatCode>0%</c:formatCode>
                <c:ptCount val="11"/>
                <c:pt idx="0">
                  <c:v>1</c:v>
                </c:pt>
                <c:pt idx="1">
                  <c:v>0.97044708516850098</c:v>
                </c:pt>
                <c:pt idx="2">
                  <c:v>0.87656152248751196</c:v>
                </c:pt>
                <c:pt idx="3">
                  <c:v>0.97828370003901899</c:v>
                </c:pt>
                <c:pt idx="4">
                  <c:v>0.97862596790947198</c:v>
                </c:pt>
                <c:pt idx="5">
                  <c:v>0.90221248418226097</c:v>
                </c:pt>
                <c:pt idx="6">
                  <c:v>0.71746300756163495</c:v>
                </c:pt>
                <c:pt idx="7">
                  <c:v>0.843607890059343</c:v>
                </c:pt>
                <c:pt idx="8">
                  <c:v>0.90317934673364997</c:v>
                </c:pt>
                <c:pt idx="9">
                  <c:v>0.76060919349962597</c:v>
                </c:pt>
                <c:pt idx="10">
                  <c:v>0.52299227144291904</c:v>
                </c:pt>
              </c:numCache>
            </c:numRef>
          </c:val>
          <c:smooth val="0"/>
          <c:extLst xmlns:c16r2="http://schemas.microsoft.com/office/drawing/2015/06/chart">
            <c:ext xmlns:c16="http://schemas.microsoft.com/office/drawing/2014/chart" uri="{C3380CC4-5D6E-409C-BE32-E72D297353CC}">
              <c16:uniqueId val="{00000004-AD43-5A4B-A2E7-6C489881D280}"/>
            </c:ext>
          </c:extLst>
        </c:ser>
        <c:dLbls>
          <c:showLegendKey val="0"/>
          <c:showVal val="0"/>
          <c:showCatName val="0"/>
          <c:showSerName val="0"/>
          <c:showPercent val="0"/>
          <c:showBubbleSize val="0"/>
        </c:dLbls>
        <c:marker val="1"/>
        <c:smooth val="0"/>
        <c:axId val="949261464"/>
        <c:axId val="949261072"/>
      </c:lineChart>
      <c:catAx>
        <c:axId val="9492602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9260680"/>
        <c:crosses val="autoZero"/>
        <c:auto val="1"/>
        <c:lblAlgn val="ctr"/>
        <c:lblOffset val="100"/>
        <c:noMultiLvlLbl val="0"/>
      </c:catAx>
      <c:valAx>
        <c:axId val="949260680"/>
        <c:scaling>
          <c:orientation val="minMax"/>
          <c:min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Energy consumption per blade/gj</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9260288"/>
        <c:crosses val="autoZero"/>
        <c:crossBetween val="between"/>
        <c:majorUnit val="200"/>
        <c:minorUnit val="100"/>
      </c:valAx>
      <c:valAx>
        <c:axId val="949261072"/>
        <c:scaling>
          <c:orientation val="minMax"/>
          <c:max val="1.3"/>
          <c:min val="-0.3"/>
        </c:scaling>
        <c:delete val="0"/>
        <c:axPos val="r"/>
        <c:numFmt formatCode="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9261464"/>
        <c:crosses val="max"/>
        <c:crossBetween val="between"/>
      </c:valAx>
      <c:catAx>
        <c:axId val="949261464"/>
        <c:scaling>
          <c:orientation val="minMax"/>
        </c:scaling>
        <c:delete val="1"/>
        <c:axPos val="b"/>
        <c:numFmt formatCode="General" sourceLinked="1"/>
        <c:majorTickMark val="none"/>
        <c:minorTickMark val="none"/>
        <c:tickLblPos val="nextTo"/>
        <c:crossAx val="9492610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'Impact of CF'!$A$26</c:f>
              <c:strCache>
                <c:ptCount val="1"/>
                <c:pt idx="0">
                  <c:v>Manufacture+O&amp;M+Transportation</c:v>
                </c:pt>
              </c:strCache>
            </c:strRef>
          </c:tx>
          <c:spPr>
            <a:solidFill>
              <a:schemeClr val="accent1"/>
            </a:solidFill>
            <a:ln>
              <a:noFill/>
            </a:ln>
            <a:effectLst/>
          </c:spPr>
          <c:invertIfNegative val="0"/>
          <c:cat>
            <c:strRef>
              <c:f>'Impact of CF'!$B$25:$L$25</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CF'!$B$26:$L$26</c:f>
              <c:numCache>
                <c:formatCode>0.0</c:formatCode>
                <c:ptCount val="11"/>
                <c:pt idx="0">
                  <c:v>1678.4735148267721</c:v>
                </c:pt>
                <c:pt idx="1">
                  <c:v>1678.4735148267721</c:v>
                </c:pt>
                <c:pt idx="2">
                  <c:v>1678.4735148267721</c:v>
                </c:pt>
                <c:pt idx="3">
                  <c:v>1678.4735148267721</c:v>
                </c:pt>
                <c:pt idx="4">
                  <c:v>1678.4735148267721</c:v>
                </c:pt>
                <c:pt idx="5">
                  <c:v>1678.4735148267721</c:v>
                </c:pt>
                <c:pt idx="6">
                  <c:v>1678.4735148267721</c:v>
                </c:pt>
                <c:pt idx="7">
                  <c:v>1678.4735148267721</c:v>
                </c:pt>
                <c:pt idx="8">
                  <c:v>1678.4735148267721</c:v>
                </c:pt>
                <c:pt idx="9">
                  <c:v>1678.4735148267721</c:v>
                </c:pt>
                <c:pt idx="10">
                  <c:v>1678.4735148267721</c:v>
                </c:pt>
              </c:numCache>
            </c:numRef>
          </c:val>
          <c:extLst xmlns:c16r2="http://schemas.microsoft.com/office/drawing/2015/06/chart">
            <c:ext xmlns:c16="http://schemas.microsoft.com/office/drawing/2014/chart" uri="{C3380CC4-5D6E-409C-BE32-E72D297353CC}">
              <c16:uniqueId val="{00000000-80FF-2C48-ACD6-4D0464CE481C}"/>
            </c:ext>
          </c:extLst>
        </c:ser>
        <c:ser>
          <c:idx val="1"/>
          <c:order val="1"/>
          <c:tx>
            <c:strRef>
              <c:f>'Impact of CF'!$A$27</c:f>
              <c:strCache>
                <c:ptCount val="1"/>
                <c:pt idx="0">
                  <c:v>EoL process</c:v>
                </c:pt>
              </c:strCache>
            </c:strRef>
          </c:tx>
          <c:spPr>
            <a:solidFill>
              <a:schemeClr val="accent2"/>
            </a:solidFill>
            <a:ln>
              <a:noFill/>
            </a:ln>
            <a:effectLst/>
          </c:spPr>
          <c:invertIfNegative val="0"/>
          <c:dLbls>
            <c:dLbl>
              <c:idx val="0"/>
              <c:layout>
                <c:manualLayout>
                  <c:x val="0"/>
                  <c:y val="-1.52351932965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054-F64A-816E-1F9641B241D4}"/>
                </c:ext>
                <c:ext xmlns:c15="http://schemas.microsoft.com/office/drawing/2012/chart" uri="{CE6537A1-D6FC-4f65-9D91-7224C49458BB}"/>
              </c:extLst>
            </c:dLbl>
            <c:dLbl>
              <c:idx val="1"/>
              <c:layout>
                <c:manualLayout>
                  <c:x val="0"/>
                  <c:y val="-1.9043991620643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054-F64A-816E-1F9641B241D4}"/>
                </c:ext>
                <c:ext xmlns:c15="http://schemas.microsoft.com/office/drawing/2012/chart" uri="{CE6537A1-D6FC-4f65-9D91-7224C49458BB}"/>
              </c:extLst>
            </c:dLbl>
            <c:dLbl>
              <c:idx val="2"/>
              <c:layout>
                <c:manualLayout>
                  <c:x val="0"/>
                  <c:y val="-1.52351932965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054-F64A-816E-1F9641B241D4}"/>
                </c:ext>
                <c:ext xmlns:c15="http://schemas.microsoft.com/office/drawing/2012/chart" uri="{CE6537A1-D6FC-4f65-9D91-7224C49458BB}"/>
              </c:extLst>
            </c:dLbl>
            <c:dLbl>
              <c:idx val="8"/>
              <c:layout>
                <c:manualLayout>
                  <c:x val="-1.6259974765010001E-16"/>
                  <c:y val="-1.9043991620643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054-F64A-816E-1F9641B241D4}"/>
                </c:ext>
                <c:ext xmlns:c15="http://schemas.microsoft.com/office/drawing/2012/chart" uri="{CE6537A1-D6FC-4f65-9D91-7224C49458BB}"/>
              </c:extLst>
            </c:dLbl>
            <c:dLbl>
              <c:idx val="9"/>
              <c:layout>
                <c:manualLayout>
                  <c:x val="-1.6259974765010001E-16"/>
                  <c:y val="-1.52351932965149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054-F64A-816E-1F9641B241D4}"/>
                </c:ext>
                <c:ext xmlns:c15="http://schemas.microsoft.com/office/drawing/2012/chart" uri="{CE6537A1-D6FC-4f65-9D91-7224C49458BB}"/>
              </c:extLst>
            </c:dLbl>
            <c:dLbl>
              <c:idx val="10"/>
              <c:layout>
                <c:manualLayout>
                  <c:x val="0"/>
                  <c:y val="-2.28527899447724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054-F64A-816E-1F9641B241D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 of CF'!$B$25:$L$25</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CF'!$B$27:$L$27</c:f>
              <c:numCache>
                <c:formatCode>0.0</c:formatCode>
                <c:ptCount val="11"/>
                <c:pt idx="0">
                  <c:v>1.6227325236220469</c:v>
                </c:pt>
                <c:pt idx="1">
                  <c:v>0.56171510433070904</c:v>
                </c:pt>
                <c:pt idx="2">
                  <c:v>1.872383681102362</c:v>
                </c:pt>
                <c:pt idx="3">
                  <c:v>138.55639240157481</c:v>
                </c:pt>
                <c:pt idx="4">
                  <c:v>132.31511346456691</c:v>
                </c:pt>
                <c:pt idx="5">
                  <c:v>62.412789370078741</c:v>
                </c:pt>
                <c:pt idx="6">
                  <c:v>119.83255559055119</c:v>
                </c:pt>
                <c:pt idx="7">
                  <c:v>101.10871877952751</c:v>
                </c:pt>
                <c:pt idx="8">
                  <c:v>8.7239705584504268</c:v>
                </c:pt>
                <c:pt idx="9">
                  <c:v>21.809926396126091</c:v>
                </c:pt>
                <c:pt idx="10">
                  <c:v>43.619852792252168</c:v>
                </c:pt>
              </c:numCache>
            </c:numRef>
          </c:val>
          <c:extLst xmlns:c16r2="http://schemas.microsoft.com/office/drawing/2015/06/chart">
            <c:ext xmlns:c16="http://schemas.microsoft.com/office/drawing/2014/chart" uri="{C3380CC4-5D6E-409C-BE32-E72D297353CC}">
              <c16:uniqueId val="{00000001-80FF-2C48-ACD6-4D0464CE481C}"/>
            </c:ext>
          </c:extLst>
        </c:ser>
        <c:ser>
          <c:idx val="2"/>
          <c:order val="2"/>
          <c:tx>
            <c:strRef>
              <c:f>'Impact of CF'!$A$28</c:f>
              <c:strCache>
                <c:ptCount val="1"/>
                <c:pt idx="0">
                  <c:v>Benefits from EoL</c:v>
                </c:pt>
              </c:strCache>
            </c:strRef>
          </c:tx>
          <c:spPr>
            <a:solidFill>
              <a:schemeClr val="accent3"/>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80FF-2C48-ACD6-4D0464CE48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 of CF'!$B$25:$L$25</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CF'!$B$28:$L$28</c:f>
              <c:numCache>
                <c:formatCode>0.0</c:formatCode>
                <c:ptCount val="11"/>
                <c:pt idx="0">
                  <c:v>0</c:v>
                </c:pt>
                <c:pt idx="1">
                  <c:v>-25.973706424251962</c:v>
                </c:pt>
                <c:pt idx="2">
                  <c:v>-219.72240646936999</c:v>
                </c:pt>
                <c:pt idx="3">
                  <c:v>-508.79116420866092</c:v>
                </c:pt>
                <c:pt idx="4">
                  <c:v>-411.55551949322819</c:v>
                </c:pt>
                <c:pt idx="5">
                  <c:v>-411.55551949322819</c:v>
                </c:pt>
                <c:pt idx="6">
                  <c:v>-862.64240583070784</c:v>
                </c:pt>
                <c:pt idx="7">
                  <c:v>-563.06222172425078</c:v>
                </c:pt>
                <c:pt idx="8">
                  <c:v>-167.8473514826772</c:v>
                </c:pt>
                <c:pt idx="9">
                  <c:v>-419.61837870669228</c:v>
                </c:pt>
                <c:pt idx="10">
                  <c:v>-839.2367574133857</c:v>
                </c:pt>
              </c:numCache>
            </c:numRef>
          </c:val>
          <c:extLst xmlns:c16r2="http://schemas.microsoft.com/office/drawing/2015/06/chart">
            <c:ext xmlns:c16="http://schemas.microsoft.com/office/drawing/2014/chart" uri="{C3380CC4-5D6E-409C-BE32-E72D297353CC}">
              <c16:uniqueId val="{00000003-80FF-2C48-ACD6-4D0464CE481C}"/>
            </c:ext>
          </c:extLst>
        </c:ser>
        <c:ser>
          <c:idx val="3"/>
          <c:order val="3"/>
          <c:tx>
            <c:strRef>
              <c:f>'Impact of GF'!$A$78</c:f>
              <c:strCache>
                <c:ptCount val="1"/>
                <c:pt idx="0">
                  <c:v>Net Impact GF</c:v>
                </c:pt>
              </c:strCache>
            </c:strRef>
          </c:tx>
          <c:spPr>
            <a:solidFill>
              <a:schemeClr val="accent4"/>
            </a:solidFill>
            <a:ln>
              <a:noFill/>
            </a:ln>
            <a:effectLst/>
          </c:spPr>
          <c:invertIfNegative val="0"/>
          <c:cat>
            <c:strRef>
              <c:f>'Impact of CF'!$B$25:$L$25</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GF'!$B$78:$L$78</c:f>
            </c:numRef>
          </c:val>
          <c:extLst xmlns:c16r2="http://schemas.microsoft.com/office/drawing/2015/06/chart">
            <c:ext xmlns:c16="http://schemas.microsoft.com/office/drawing/2014/chart" uri="{C3380CC4-5D6E-409C-BE32-E72D297353CC}">
              <c16:uniqueId val="{00000004-80FF-2C48-ACD6-4D0464CE481C}"/>
            </c:ext>
          </c:extLst>
        </c:ser>
        <c:dLbls>
          <c:showLegendKey val="0"/>
          <c:showVal val="0"/>
          <c:showCatName val="0"/>
          <c:showSerName val="0"/>
          <c:showPercent val="0"/>
          <c:showBubbleSize val="0"/>
        </c:dLbls>
        <c:gapWidth val="150"/>
        <c:overlap val="100"/>
        <c:axId val="949262248"/>
        <c:axId val="949262640"/>
      </c:barChart>
      <c:lineChart>
        <c:grouping val="standard"/>
        <c:varyColors val="0"/>
        <c:ser>
          <c:idx val="4"/>
          <c:order val="4"/>
          <c:tx>
            <c:strRef>
              <c:f>'Impact of CF'!$A$29</c:f>
              <c:strCache>
                <c:ptCount val="1"/>
                <c:pt idx="0">
                  <c:v>Compare to benchmark</c:v>
                </c:pt>
              </c:strCache>
            </c:strRef>
          </c:tx>
          <c:spPr>
            <a:ln w="22225" cap="rnd">
              <a:solidFill>
                <a:srgbClr val="5B9BD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 of GF'!$B$74:$L$74</c:f>
              <c:strCache>
                <c:ptCount val="11"/>
                <c:pt idx="0">
                  <c:v>Landfill/Benchmark</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'Impact of CF'!$B$29:$L$29</c:f>
              <c:numCache>
                <c:formatCode>0%</c:formatCode>
                <c:ptCount val="11"/>
                <c:pt idx="0">
                  <c:v>1</c:v>
                </c:pt>
                <c:pt idx="1">
                  <c:v>0.98390882433897497</c:v>
                </c:pt>
                <c:pt idx="2">
                  <c:v>0.86936893903667101</c:v>
                </c:pt>
                <c:pt idx="3">
                  <c:v>0.77866892749915395</c:v>
                </c:pt>
                <c:pt idx="4">
                  <c:v>0.83282913761921695</c:v>
                </c:pt>
                <c:pt idx="5">
                  <c:v>0.791222994992133</c:v>
                </c:pt>
                <c:pt idx="6">
                  <c:v>0.55691075202519402</c:v>
                </c:pt>
                <c:pt idx="7">
                  <c:v>0.72407757222276303</c:v>
                </c:pt>
                <c:pt idx="8">
                  <c:v>0.904323270942748</c:v>
                </c:pt>
                <c:pt idx="9">
                  <c:v>0.76225696268049303</c:v>
                </c:pt>
                <c:pt idx="10">
                  <c:v>0.52547978224339997</c:v>
                </c:pt>
              </c:numCache>
            </c:numRef>
          </c:val>
          <c:smooth val="0"/>
          <c:extLst xmlns:c16r2="http://schemas.microsoft.com/office/drawing/2015/06/chart">
            <c:ext xmlns:c16="http://schemas.microsoft.com/office/drawing/2014/chart" uri="{C3380CC4-5D6E-409C-BE32-E72D297353CC}">
              <c16:uniqueId val="{00000005-80FF-2C48-ACD6-4D0464CE481C}"/>
            </c:ext>
          </c:extLst>
        </c:ser>
        <c:dLbls>
          <c:showLegendKey val="0"/>
          <c:showVal val="0"/>
          <c:showCatName val="0"/>
          <c:showSerName val="0"/>
          <c:showPercent val="0"/>
          <c:showBubbleSize val="0"/>
        </c:dLbls>
        <c:marker val="1"/>
        <c:smooth val="0"/>
        <c:axId val="949263424"/>
        <c:axId val="949263032"/>
      </c:lineChart>
      <c:catAx>
        <c:axId val="9492622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949262640"/>
        <c:crosses val="autoZero"/>
        <c:auto val="1"/>
        <c:lblAlgn val="ctr"/>
        <c:lblOffset val="100"/>
        <c:noMultiLvlLbl val="0"/>
      </c:catAx>
      <c:valAx>
        <c:axId val="949262640"/>
        <c:scaling>
          <c:orientation val="minMax"/>
          <c:max val="2000"/>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mn-ea"/>
                    <a:cs typeface="Calibri" panose="020F0502020204030204" pitchFamily="34" charset="0"/>
                  </a:defRPr>
                </a:pPr>
                <a:r>
                  <a:rPr lang="en-US"/>
                  <a:t>Energy consumption per blade/GJ</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949262248"/>
        <c:crosses val="autoZero"/>
        <c:crossBetween val="between"/>
        <c:majorUnit val="200"/>
      </c:valAx>
      <c:valAx>
        <c:axId val="949263032"/>
        <c:scaling>
          <c:orientation val="minMax"/>
          <c:max val="1.5"/>
          <c:min val="-0.3"/>
        </c:scaling>
        <c:delete val="0"/>
        <c:axPos val="r"/>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949263424"/>
        <c:crosses val="max"/>
        <c:crossBetween val="between"/>
      </c:valAx>
      <c:catAx>
        <c:axId val="949263424"/>
        <c:scaling>
          <c:orientation val="minMax"/>
        </c:scaling>
        <c:delete val="1"/>
        <c:axPos val="b"/>
        <c:numFmt formatCode="General" sourceLinked="1"/>
        <c:majorTickMark val="none"/>
        <c:minorTickMark val="none"/>
        <c:tickLblPos val="nextTo"/>
        <c:crossAx val="9492630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en-US"/>
              <a:t>GF Blade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en-US"/>
        </a:p>
      </c:txPr>
    </c:title>
    <c:autoTitleDeleted val="0"/>
    <c:plotArea>
      <c:layout/>
      <c:stockChart>
        <c:ser>
          <c:idx val="0"/>
          <c:order val="0"/>
          <c:tx>
            <c:strRef>
              <c:f>Test!$A$71</c:f>
              <c:strCache>
                <c:ptCount val="1"/>
                <c:pt idx="0">
                  <c:v>High Value GF</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Test!$B$71:$L$71</c:f>
              <c:numCache>
                <c:formatCode>0%</c:formatCode>
                <c:ptCount val="11"/>
                <c:pt idx="0">
                  <c:v>1</c:v>
                </c:pt>
                <c:pt idx="1">
                  <c:v>1</c:v>
                </c:pt>
                <c:pt idx="2">
                  <c:v>0.91</c:v>
                </c:pt>
                <c:pt idx="3">
                  <c:v>1.1772626949532254</c:v>
                </c:pt>
                <c:pt idx="4">
                  <c:v>1.3579078430258515</c:v>
                </c:pt>
                <c:pt idx="5">
                  <c:v>1.0173045550359283</c:v>
                </c:pt>
                <c:pt idx="6">
                  <c:v>1.4721764709065566</c:v>
                </c:pt>
                <c:pt idx="7">
                  <c:v>1.187912242124096</c:v>
                </c:pt>
                <c:pt idx="8">
                  <c:v>0.90364121555537957</c:v>
                </c:pt>
                <c:pt idx="9">
                  <c:v>0.76247175673984036</c:v>
                </c:pt>
                <c:pt idx="10">
                  <c:v>0.52718932538060836</c:v>
                </c:pt>
              </c:numCache>
            </c:numRef>
          </c:val>
          <c:smooth val="0"/>
        </c:ser>
        <c:ser>
          <c:idx val="1"/>
          <c:order val="1"/>
          <c:tx>
            <c:strRef>
              <c:f>Test!$A$72</c:f>
              <c:strCache>
                <c:ptCount val="1"/>
                <c:pt idx="0">
                  <c:v>Upper limit GF</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Test!$B$72:$L$72</c:f>
              <c:numCache>
                <c:formatCode>0%</c:formatCode>
                <c:ptCount val="11"/>
                <c:pt idx="0">
                  <c:v>1</c:v>
                </c:pt>
                <c:pt idx="1">
                  <c:v>1</c:v>
                </c:pt>
                <c:pt idx="2">
                  <c:v>0.89501833805167241</c:v>
                </c:pt>
                <c:pt idx="3">
                  <c:v>1.1388727479288208</c:v>
                </c:pt>
                <c:pt idx="4">
                  <c:v>1.2838651521998823</c:v>
                </c:pt>
                <c:pt idx="5">
                  <c:v>1.0000290788749462</c:v>
                </c:pt>
                <c:pt idx="6">
                  <c:v>1.21</c:v>
                </c:pt>
                <c:pt idx="7">
                  <c:v>0.95469331395083745</c:v>
                </c:pt>
                <c:pt idx="8">
                  <c:v>0.90269747451101057</c:v>
                </c:pt>
                <c:pt idx="9">
                  <c:v>0.76011240412891778</c:v>
                </c:pt>
                <c:pt idx="10">
                  <c:v>0.522470620158763</c:v>
                </c:pt>
              </c:numCache>
            </c:numRef>
          </c:val>
          <c:smooth val="0"/>
        </c:ser>
        <c:ser>
          <c:idx val="2"/>
          <c:order val="2"/>
          <c:tx>
            <c:strRef>
              <c:f>Test!$A$73</c:f>
              <c:strCache>
                <c:ptCount val="1"/>
                <c:pt idx="0">
                  <c:v>Lower limit GF</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Test!$B$73:$L$73</c:f>
              <c:numCache>
                <c:formatCode>0%</c:formatCode>
                <c:ptCount val="11"/>
                <c:pt idx="0">
                  <c:v>1</c:v>
                </c:pt>
                <c:pt idx="1">
                  <c:v>1</c:v>
                </c:pt>
                <c:pt idx="2">
                  <c:v>0.89501833805167241</c:v>
                </c:pt>
                <c:pt idx="3">
                  <c:v>1.1388727479288208</c:v>
                </c:pt>
                <c:pt idx="4">
                  <c:v>1.2838651521998823</c:v>
                </c:pt>
                <c:pt idx="5">
                  <c:v>1.0000290788749462</c:v>
                </c:pt>
                <c:pt idx="6">
                  <c:v>1.21</c:v>
                </c:pt>
                <c:pt idx="7">
                  <c:v>0.95469331395083745</c:v>
                </c:pt>
                <c:pt idx="8">
                  <c:v>0.90269747451101057</c:v>
                </c:pt>
                <c:pt idx="9">
                  <c:v>0.76011240412891778</c:v>
                </c:pt>
                <c:pt idx="10">
                  <c:v>0.522470620158763</c:v>
                </c:pt>
              </c:numCache>
            </c:numRef>
          </c:val>
          <c:smooth val="0"/>
        </c:ser>
        <c:ser>
          <c:idx val="3"/>
          <c:order val="3"/>
          <c:tx>
            <c:strRef>
              <c:f>Test!$A$74</c:f>
              <c:strCache>
                <c:ptCount val="1"/>
                <c:pt idx="0">
                  <c:v>Low Value GF</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Test!$B$74:$L$74</c:f>
              <c:numCache>
                <c:formatCode>0%</c:formatCode>
                <c:ptCount val="11"/>
                <c:pt idx="0">
                  <c:v>1</c:v>
                </c:pt>
                <c:pt idx="1">
                  <c:v>0.96</c:v>
                </c:pt>
                <c:pt idx="2">
                  <c:v>0.89501833805167241</c:v>
                </c:pt>
                <c:pt idx="3">
                  <c:v>1.1004828009044161</c:v>
                </c:pt>
                <c:pt idx="4">
                  <c:v>1.209822461373913</c:v>
                </c:pt>
                <c:pt idx="5">
                  <c:v>0.98275360271396406</c:v>
                </c:pt>
                <c:pt idx="6">
                  <c:v>0.86062461480778996</c:v>
                </c:pt>
                <c:pt idx="7">
                  <c:v>0.87695367122641799</c:v>
                </c:pt>
                <c:pt idx="8">
                  <c:v>0.90175373346664145</c:v>
                </c:pt>
                <c:pt idx="9">
                  <c:v>0.75775305151799488</c:v>
                </c:pt>
                <c:pt idx="10">
                  <c:v>0.51775191493691752</c:v>
                </c:pt>
              </c:numCache>
            </c:numRef>
          </c:val>
          <c:smooth val="0"/>
        </c:ser>
        <c:dLbls>
          <c:showLegendKey val="0"/>
          <c:showVal val="0"/>
          <c:showCatName val="0"/>
          <c:showSerName val="0"/>
          <c:showPercent val="0"/>
          <c:showBubbleSize val="0"/>
        </c:dLbls>
        <c:hiLowLines>
          <c:spPr>
            <a:ln w="9525">
              <a:solidFill>
                <a:schemeClr val="tx1">
                  <a:lumMod val="75000"/>
                  <a:lumOff val="25000"/>
                </a:schemeClr>
              </a:solidFill>
            </a:ln>
            <a:effectLst/>
          </c:spPr>
        </c:hiLowLines>
        <c:upDownBars>
          <c:gapWidth val="150"/>
          <c:upBars>
            <c:spPr>
              <a:solidFill>
                <a:schemeClr val="lt1"/>
              </a:solidFill>
              <a:ln w="9525">
                <a:solidFill>
                  <a:schemeClr val="tx1">
                    <a:lumMod val="50000"/>
                    <a:lumOff val="50000"/>
                  </a:schemeClr>
                </a:solidFill>
              </a:ln>
              <a:effectLst/>
            </c:spPr>
          </c:upBars>
          <c:downBars>
            <c:spPr>
              <a:solidFill>
                <a:schemeClr val="dk1">
                  <a:lumMod val="75000"/>
                  <a:lumOff val="25000"/>
                </a:schemeClr>
              </a:solidFill>
              <a:ln w="9525">
                <a:solidFill>
                  <a:schemeClr val="tx1">
                    <a:lumMod val="75000"/>
                    <a:lumOff val="25000"/>
                  </a:schemeClr>
                </a:solidFill>
              </a:ln>
              <a:effectLst/>
            </c:spPr>
          </c:downBars>
        </c:upDownBars>
        <c:axId val="949264208"/>
        <c:axId val="949264600"/>
      </c:stockChart>
      <c:catAx>
        <c:axId val="94926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9264600"/>
        <c:crosses val="autoZero"/>
        <c:auto val="1"/>
        <c:lblAlgn val="ctr"/>
        <c:lblOffset val="100"/>
        <c:noMultiLvlLbl val="0"/>
      </c:catAx>
      <c:valAx>
        <c:axId val="949264600"/>
        <c:scaling>
          <c:orientation val="minMax"/>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GB"/>
                  <a:t>Relative</a:t>
                </a:r>
                <a:r>
                  <a:rPr lang="zh-CN"/>
                  <a:t> </a:t>
                </a:r>
                <a:r>
                  <a:rPr lang="en-US"/>
                  <a:t>net impact</a:t>
                </a:r>
                <a:r>
                  <a:rPr lang="en-GB"/>
                  <a:t> </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926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6"/>
          <c:order val="1"/>
          <c:tx>
            <c:strRef>
              <c:f>'Sensitivity Test Part 2'!$L$34</c:f>
              <c:strCache>
                <c:ptCount val="1"/>
                <c:pt idx="0">
                  <c:v>Pyrolysis/MAP GF</c:v>
                </c:pt>
              </c:strCache>
            </c:strRef>
          </c:tx>
          <c:spPr>
            <a:ln w="19050" cap="rnd">
              <a:solidFill>
                <a:schemeClr val="accent2"/>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2'!$M$34:$AG$34</c:f>
              <c:numCache>
                <c:formatCode>0%</c:formatCode>
                <c:ptCount val="21"/>
                <c:pt idx="0">
                  <c:v>0.36796764222891887</c:v>
                </c:pt>
                <c:pt idx="1">
                  <c:v>0.35955739322601521</c:v>
                </c:pt>
                <c:pt idx="2">
                  <c:v>0.35114714422311155</c:v>
                </c:pt>
                <c:pt idx="3">
                  <c:v>0.34273689522020789</c:v>
                </c:pt>
                <c:pt idx="4">
                  <c:v>0.33432664621730424</c:v>
                </c:pt>
                <c:pt idx="5">
                  <c:v>0.32591639721440058</c:v>
                </c:pt>
                <c:pt idx="6">
                  <c:v>0.3175061482114967</c:v>
                </c:pt>
                <c:pt idx="7">
                  <c:v>0.30909589920859326</c:v>
                </c:pt>
                <c:pt idx="8">
                  <c:v>0.30068565020568938</c:v>
                </c:pt>
                <c:pt idx="9">
                  <c:v>0.29227540120278594</c:v>
                </c:pt>
                <c:pt idx="10">
                  <c:v>0.28386515219988229</c:v>
                </c:pt>
                <c:pt idx="11">
                  <c:v>0.27545490319697841</c:v>
                </c:pt>
                <c:pt idx="12">
                  <c:v>0.26704465419407497</c:v>
                </c:pt>
                <c:pt idx="13">
                  <c:v>0.25863440519117109</c:v>
                </c:pt>
                <c:pt idx="14">
                  <c:v>0.25022415618826765</c:v>
                </c:pt>
                <c:pt idx="15">
                  <c:v>0.24181390718536377</c:v>
                </c:pt>
                <c:pt idx="16">
                  <c:v>0.23340365818246012</c:v>
                </c:pt>
                <c:pt idx="17">
                  <c:v>0.22499340917955646</c:v>
                </c:pt>
                <c:pt idx="18">
                  <c:v>0.2165831601766528</c:v>
                </c:pt>
                <c:pt idx="19">
                  <c:v>0.20817291117374914</c:v>
                </c:pt>
                <c:pt idx="20">
                  <c:v>0.19976266217084548</c:v>
                </c:pt>
              </c:numCache>
            </c:numRef>
          </c:yVal>
          <c:smooth val="1"/>
        </c:ser>
        <c:ser>
          <c:idx val="9"/>
          <c:order val="2"/>
          <c:tx>
            <c:strRef>
              <c:f>'Sensitivity Test Part 2'!$L$37</c:f>
              <c:strCache>
                <c:ptCount val="1"/>
                <c:pt idx="0">
                  <c:v>Fluidised bed GF</c:v>
                </c:pt>
              </c:strCache>
            </c:strRef>
          </c:tx>
          <c:spPr>
            <a:ln w="19050" cap="rnd">
              <a:solidFill>
                <a:schemeClr val="accent4">
                  <a:lumMod val="60000"/>
                </a:schemeClr>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2'!$M$37:$AG$37</c:f>
              <c:numCache>
                <c:formatCode>0%</c:formatCode>
                <c:ptCount val="21"/>
                <c:pt idx="0">
                  <c:v>0.18970392322109575</c:v>
                </c:pt>
                <c:pt idx="1">
                  <c:v>0.18462080569186812</c:v>
                </c:pt>
                <c:pt idx="2">
                  <c:v>0.17953768816264071</c:v>
                </c:pt>
                <c:pt idx="3">
                  <c:v>0.17445457063341308</c:v>
                </c:pt>
                <c:pt idx="4">
                  <c:v>0.16937145310418567</c:v>
                </c:pt>
                <c:pt idx="5">
                  <c:v>0.16428833557495826</c:v>
                </c:pt>
                <c:pt idx="6">
                  <c:v>0.15920521804573062</c:v>
                </c:pt>
                <c:pt idx="7">
                  <c:v>0.15412210051650321</c:v>
                </c:pt>
                <c:pt idx="8">
                  <c:v>0.1490389829872758</c:v>
                </c:pt>
                <c:pt idx="9">
                  <c:v>0.14395586545804817</c:v>
                </c:pt>
                <c:pt idx="10">
                  <c:v>0.13887274792882076</c:v>
                </c:pt>
                <c:pt idx="11">
                  <c:v>0.13378963039959313</c:v>
                </c:pt>
                <c:pt idx="12">
                  <c:v>0.12870651287036572</c:v>
                </c:pt>
                <c:pt idx="13">
                  <c:v>0.12362339534113831</c:v>
                </c:pt>
                <c:pt idx="14">
                  <c:v>0.11854027781191068</c:v>
                </c:pt>
                <c:pt idx="15">
                  <c:v>0.11345716028268327</c:v>
                </c:pt>
                <c:pt idx="16">
                  <c:v>0.10837404275345586</c:v>
                </c:pt>
                <c:pt idx="17">
                  <c:v>0.10329092522422822</c:v>
                </c:pt>
                <c:pt idx="18">
                  <c:v>9.8207807695000815E-2</c:v>
                </c:pt>
                <c:pt idx="19">
                  <c:v>9.3124690165773183E-2</c:v>
                </c:pt>
                <c:pt idx="20">
                  <c:v>8.8041572636545773E-2</c:v>
                </c:pt>
              </c:numCache>
            </c:numRef>
          </c:yVal>
          <c:smooth val="1"/>
        </c:ser>
        <c:ser>
          <c:idx val="12"/>
          <c:order val="3"/>
          <c:tx>
            <c:strRef>
              <c:f>'Sensitivity Test Part 2'!$L$40</c:f>
              <c:strCache>
                <c:ptCount val="1"/>
                <c:pt idx="0">
                  <c:v>Chemical GF</c:v>
                </c:pt>
              </c:strCache>
            </c:strRef>
          </c:tx>
          <c:spPr>
            <a:ln w="19050" cap="rnd">
              <a:solidFill>
                <a:schemeClr val="accent1">
                  <a:lumMod val="80000"/>
                  <a:lumOff val="20000"/>
                </a:schemeClr>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2'!$M$40:$AG$40</c:f>
              <c:numCache>
                <c:formatCode>0%</c:formatCode>
                <c:ptCount val="21"/>
                <c:pt idx="0">
                  <c:v>0.16359875924450051</c:v>
                </c:pt>
                <c:pt idx="1">
                  <c:v>0.13330134480082956</c:v>
                </c:pt>
                <c:pt idx="2">
                  <c:v>0.10300393035715838</c:v>
                </c:pt>
                <c:pt idx="3">
                  <c:v>7.2706515913487424E-2</c:v>
                </c:pt>
                <c:pt idx="4">
                  <c:v>4.2409101469816246E-2</c:v>
                </c:pt>
                <c:pt idx="5">
                  <c:v>1.211168702614529E-2</c:v>
                </c:pt>
                <c:pt idx="6">
                  <c:v>-1.8185727417525777E-2</c:v>
                </c:pt>
                <c:pt idx="7">
                  <c:v>-4.8483141861196843E-2</c:v>
                </c:pt>
                <c:pt idx="8">
                  <c:v>-7.878055630486791E-2</c:v>
                </c:pt>
                <c:pt idx="9">
                  <c:v>-0.10907797074853898</c:v>
                </c:pt>
                <c:pt idx="10">
                  <c:v>-0.13937538519221004</c:v>
                </c:pt>
                <c:pt idx="11">
                  <c:v>-0.16967279963588111</c:v>
                </c:pt>
                <c:pt idx="12">
                  <c:v>-0.19997021407955207</c:v>
                </c:pt>
                <c:pt idx="13">
                  <c:v>-0.23026762852322324</c:v>
                </c:pt>
                <c:pt idx="14">
                  <c:v>-0.2605650429668942</c:v>
                </c:pt>
                <c:pt idx="15">
                  <c:v>-0.29086245741056527</c:v>
                </c:pt>
                <c:pt idx="16">
                  <c:v>-0.32115987185423633</c:v>
                </c:pt>
                <c:pt idx="17">
                  <c:v>-0.3514572862979074</c:v>
                </c:pt>
                <c:pt idx="18">
                  <c:v>-0.38175470074157847</c:v>
                </c:pt>
                <c:pt idx="19">
                  <c:v>-0.41205211518524965</c:v>
                </c:pt>
                <c:pt idx="20">
                  <c:v>-0.44234952962892071</c:v>
                </c:pt>
              </c:numCache>
            </c:numRef>
          </c:yVal>
          <c:smooth val="1"/>
        </c:ser>
        <c:ser>
          <c:idx val="15"/>
          <c:order val="4"/>
          <c:tx>
            <c:strRef>
              <c:f>'Sensitivity Test Part 2'!$L$43</c:f>
              <c:strCache>
                <c:ptCount val="1"/>
                <c:pt idx="0">
                  <c:v>HVF GF</c:v>
                </c:pt>
              </c:strCache>
            </c:strRef>
          </c:tx>
          <c:spPr>
            <a:ln w="19050" cap="rnd">
              <a:solidFill>
                <a:schemeClr val="accent4">
                  <a:lumMod val="80000"/>
                  <a:lumOff val="20000"/>
                </a:schemeClr>
              </a:solidFill>
              <a:round/>
            </a:ln>
            <a:effectLst/>
          </c:spPr>
          <c:marker>
            <c:symbol val="none"/>
          </c:marker>
          <c:dPt>
            <c:idx val="8"/>
            <c:marker>
              <c:symbol val="none"/>
            </c:marker>
            <c:bubble3D val="0"/>
            <c:spPr>
              <a:ln w="25400" cap="rnd">
                <a:solidFill>
                  <a:schemeClr val="accent4">
                    <a:lumMod val="80000"/>
                    <a:lumOff val="20000"/>
                  </a:schemeClr>
                </a:solidFill>
                <a:round/>
              </a:ln>
              <a:effectLst/>
            </c:spPr>
          </c:dPt>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2'!$M$43:$AG$43</c:f>
              <c:numCache>
                <c:formatCode>0%</c:formatCode>
                <c:ptCount val="21"/>
                <c:pt idx="0">
                  <c:v>0.13768554500302743</c:v>
                </c:pt>
                <c:pt idx="1">
                  <c:v>0.1193863218978084</c:v>
                </c:pt>
                <c:pt idx="2">
                  <c:v>0.10108709879258937</c:v>
                </c:pt>
                <c:pt idx="3">
                  <c:v>8.278787568737056E-2</c:v>
                </c:pt>
                <c:pt idx="4">
                  <c:v>6.4488652582151529E-2</c:v>
                </c:pt>
                <c:pt idx="5">
                  <c:v>4.6189429476932498E-2</c:v>
                </c:pt>
                <c:pt idx="6">
                  <c:v>2.7890206371713466E-2</c:v>
                </c:pt>
                <c:pt idx="7">
                  <c:v>9.590983266494435E-3</c:v>
                </c:pt>
                <c:pt idx="8">
                  <c:v>-8.7082398387244853E-3</c:v>
                </c:pt>
                <c:pt idx="9">
                  <c:v>-2.7007462943943517E-2</c:v>
                </c:pt>
                <c:pt idx="10">
                  <c:v>-4.5306686049162548E-2</c:v>
                </c:pt>
                <c:pt idx="11">
                  <c:v>-6.3605909154381468E-2</c:v>
                </c:pt>
                <c:pt idx="12">
                  <c:v>-8.1905132259600499E-2</c:v>
                </c:pt>
                <c:pt idx="13">
                  <c:v>-0.10020435536481953</c:v>
                </c:pt>
                <c:pt idx="14">
                  <c:v>-0.11850357847003834</c:v>
                </c:pt>
                <c:pt idx="15">
                  <c:v>-0.13680280157525737</c:v>
                </c:pt>
                <c:pt idx="16">
                  <c:v>-0.1551020246804764</c:v>
                </c:pt>
                <c:pt idx="17">
                  <c:v>-0.17340124778569543</c:v>
                </c:pt>
                <c:pt idx="18">
                  <c:v>-0.19170047089091435</c:v>
                </c:pt>
                <c:pt idx="19">
                  <c:v>-0.20999969399613339</c:v>
                </c:pt>
                <c:pt idx="20">
                  <c:v>-0.22829891710135242</c:v>
                </c:pt>
              </c:numCache>
            </c:numRef>
          </c:yVal>
          <c:smooth val="1"/>
        </c:ser>
        <c:ser>
          <c:idx val="2"/>
          <c:order val="6"/>
          <c:tx>
            <c:strRef>
              <c:f>'Sensitivity Test Part 2'!$L$28</c:f>
              <c:strCache>
                <c:ptCount val="1"/>
                <c:pt idx="0">
                  <c:v>Incineration GF</c:v>
                </c:pt>
              </c:strCache>
            </c:strRef>
          </c:tx>
          <c:spPr>
            <a:ln w="19050" cap="rnd">
              <a:solidFill>
                <a:schemeClr val="accent3"/>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2'!$M$28:$AG$28</c:f>
              <c:numCache>
                <c:formatCode>0%</c:formatCode>
                <c:ptCount val="21"/>
                <c:pt idx="0">
                  <c:v>-1.468415473683482E-3</c:v>
                </c:pt>
                <c:pt idx="1">
                  <c:v>-5.0630965532606487E-3</c:v>
                </c:pt>
                <c:pt idx="2">
                  <c:v>-8.6577776328378153E-3</c:v>
                </c:pt>
                <c:pt idx="3">
                  <c:v>-1.2252458712414982E-2</c:v>
                </c:pt>
                <c:pt idx="4">
                  <c:v>-1.5847139791992149E-2</c:v>
                </c:pt>
                <c:pt idx="5">
                  <c:v>-1.9441820871569204E-2</c:v>
                </c:pt>
                <c:pt idx="6">
                  <c:v>-2.3036501951146371E-2</c:v>
                </c:pt>
                <c:pt idx="7">
                  <c:v>-2.6631183030723538E-2</c:v>
                </c:pt>
                <c:pt idx="8">
                  <c:v>-3.0225864110300704E-2</c:v>
                </c:pt>
                <c:pt idx="9">
                  <c:v>-3.3820545189877871E-2</c:v>
                </c:pt>
                <c:pt idx="10">
                  <c:v>-3.7415226269455037E-2</c:v>
                </c:pt>
                <c:pt idx="11">
                  <c:v>-4.1009907349032204E-2</c:v>
                </c:pt>
                <c:pt idx="12">
                  <c:v>-4.4604588428609371E-2</c:v>
                </c:pt>
                <c:pt idx="13">
                  <c:v>-4.8199269508186537E-2</c:v>
                </c:pt>
                <c:pt idx="14">
                  <c:v>-5.1793950587763704E-2</c:v>
                </c:pt>
                <c:pt idx="15">
                  <c:v>-5.5388631667340871E-2</c:v>
                </c:pt>
                <c:pt idx="16">
                  <c:v>-5.8983312746918037E-2</c:v>
                </c:pt>
                <c:pt idx="17">
                  <c:v>-6.2577993826495204E-2</c:v>
                </c:pt>
                <c:pt idx="18">
                  <c:v>-6.6172674906072371E-2</c:v>
                </c:pt>
                <c:pt idx="19">
                  <c:v>-6.9767355985649537E-2</c:v>
                </c:pt>
                <c:pt idx="20">
                  <c:v>-7.3362037065226704E-2</c:v>
                </c:pt>
              </c:numCache>
            </c:numRef>
          </c:yVal>
          <c:smooth val="1"/>
        </c:ser>
        <c:ser>
          <c:idx val="4"/>
          <c:order val="7"/>
          <c:tx>
            <c:strRef>
              <c:f>'Sensitivity Test Part 2'!$L$31</c:f>
              <c:strCache>
                <c:ptCount val="1"/>
                <c:pt idx="0">
                  <c:v>Mechanical GF</c:v>
                </c:pt>
              </c:strCache>
            </c:strRef>
          </c:tx>
          <c:spPr>
            <a:ln w="19050" cap="rnd">
              <a:solidFill>
                <a:schemeClr val="accent6"/>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2'!$M$31:$AG$31</c:f>
              <c:numCache>
                <c:formatCode>0%</c:formatCode>
                <c:ptCount val="21"/>
                <c:pt idx="0">
                  <c:v>3.4550952321965589E-4</c:v>
                </c:pt>
                <c:pt idx="1">
                  <c:v>-1.01612944096936E-2</c:v>
                </c:pt>
                <c:pt idx="2">
                  <c:v>-2.0668098342606855E-2</c:v>
                </c:pt>
                <c:pt idx="3">
                  <c:v>-3.1174902275520111E-2</c:v>
                </c:pt>
                <c:pt idx="4">
                  <c:v>-4.1681706208433367E-2</c:v>
                </c:pt>
                <c:pt idx="5">
                  <c:v>-5.2188510141346622E-2</c:v>
                </c:pt>
                <c:pt idx="6">
                  <c:v>-6.2695314074259878E-2</c:v>
                </c:pt>
                <c:pt idx="7">
                  <c:v>-7.3202118007173134E-2</c:v>
                </c:pt>
                <c:pt idx="8">
                  <c:v>-8.3708921940086278E-2</c:v>
                </c:pt>
                <c:pt idx="9">
                  <c:v>-9.4215725872999534E-2</c:v>
                </c:pt>
                <c:pt idx="10">
                  <c:v>-0.10472252980591279</c:v>
                </c:pt>
                <c:pt idx="11">
                  <c:v>-0.11522933373882605</c:v>
                </c:pt>
                <c:pt idx="12">
                  <c:v>-0.12573613767173919</c:v>
                </c:pt>
                <c:pt idx="13">
                  <c:v>-0.13624294160465256</c:v>
                </c:pt>
                <c:pt idx="14">
                  <c:v>-0.1467497455375657</c:v>
                </c:pt>
                <c:pt idx="15">
                  <c:v>-0.15725654947047907</c:v>
                </c:pt>
                <c:pt idx="16">
                  <c:v>-0.1677633534033921</c:v>
                </c:pt>
                <c:pt idx="17">
                  <c:v>-0.17827015733630536</c:v>
                </c:pt>
                <c:pt idx="18">
                  <c:v>-0.18877696126921861</c:v>
                </c:pt>
                <c:pt idx="19">
                  <c:v>-0.19928376520213187</c:v>
                </c:pt>
                <c:pt idx="20">
                  <c:v>-0.20979056913504512</c:v>
                </c:pt>
              </c:numCache>
            </c:numRef>
          </c:yVal>
          <c:smooth val="1"/>
        </c:ser>
        <c:dLbls>
          <c:showLegendKey val="0"/>
          <c:showVal val="0"/>
          <c:showCatName val="0"/>
          <c:showSerName val="0"/>
          <c:showPercent val="0"/>
          <c:showBubbleSize val="0"/>
        </c:dLbls>
        <c:axId val="949265384"/>
        <c:axId val="949265776"/>
      </c:scatterChart>
      <c:scatterChart>
        <c:scatterStyle val="lineMarker"/>
        <c:varyColors val="0"/>
        <c:ser>
          <c:idx val="3"/>
          <c:order val="0"/>
          <c:tx>
            <c:strRef>
              <c:f>'Sensitivity Test Part 2'!$AF$65</c:f>
              <c:strCache>
                <c:ptCount val="1"/>
                <c:pt idx="0">
                  <c:v>HVF-0.25</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4.1067761806980801E-3"/>
                  <c:y val="-2.8875379939209699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2'!$AF$63</c:f>
              <c:numCache>
                <c:formatCode>0%</c:formatCode>
                <c:ptCount val="1"/>
                <c:pt idx="0">
                  <c:v>-0.25</c:v>
                </c:pt>
              </c:numCache>
            </c:numRef>
          </c:xVal>
          <c:yVal>
            <c:numRef>
              <c:f>'Sensitivity Test Part 2'!$AF$64</c:f>
              <c:numCache>
                <c:formatCode>0%</c:formatCode>
                <c:ptCount val="1"/>
                <c:pt idx="0">
                  <c:v>0</c:v>
                </c:pt>
              </c:numCache>
            </c:numRef>
          </c:yVal>
          <c:smooth val="0"/>
        </c:ser>
        <c:ser>
          <c:idx val="0"/>
          <c:order val="5"/>
          <c:tx>
            <c:strRef>
              <c:f>'Sensitivity Test Part 2'!$AF$70</c:f>
              <c:strCache>
                <c:ptCount val="1"/>
                <c:pt idx="0">
                  <c:v>Chemical-0.47</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3.9735287054593428E-2"/>
                  <c:y val="-5.7285304037117256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2'!$AF$68</c:f>
              <c:numCache>
                <c:formatCode>0%</c:formatCode>
                <c:ptCount val="1"/>
                <c:pt idx="0">
                  <c:v>-0.47</c:v>
                </c:pt>
              </c:numCache>
            </c:numRef>
          </c:xVal>
          <c:yVal>
            <c:numRef>
              <c:f>'Sensitivity Test Part 2'!$AF$69</c:f>
              <c:numCache>
                <c:formatCode>0%</c:formatCode>
                <c:ptCount val="1"/>
                <c:pt idx="0">
                  <c:v>0</c:v>
                </c:pt>
              </c:numCache>
            </c:numRef>
          </c:yVal>
          <c:smooth val="0"/>
        </c:ser>
        <c:dLbls>
          <c:showLegendKey val="0"/>
          <c:showVal val="0"/>
          <c:showCatName val="0"/>
          <c:showSerName val="0"/>
          <c:showPercent val="0"/>
          <c:showBubbleSize val="0"/>
        </c:dLbls>
        <c:axId val="949265384"/>
        <c:axId val="949265776"/>
      </c:scatterChart>
      <c:valAx>
        <c:axId val="949265384"/>
        <c:scaling>
          <c:orientation val="minMax"/>
          <c:max val="1"/>
          <c:min val="-1"/>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Recyclate</a:t>
                </a:r>
                <a:r>
                  <a:rPr lang="zh-CN"/>
                  <a:t> </a:t>
                </a:r>
                <a:r>
                  <a:rPr lang="en-US"/>
                  <a:t>value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low"/>
        <c:spPr>
          <a:noFill/>
          <a:ln w="9525" cap="flat" cmpd="sng" algn="ctr">
            <a:solidFill>
              <a:schemeClr val="bg2"/>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9265776"/>
        <c:crosses val="autoZero"/>
        <c:crossBetween val="midCat"/>
      </c:valAx>
      <c:valAx>
        <c:axId val="949265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Net impact Variation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low"/>
        <c:spPr>
          <a:noFill/>
          <a:ln w="9525" cap="flat" cmpd="sng" algn="ctr">
            <a:solidFill>
              <a:schemeClr val="bg2"/>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9265384"/>
        <c:crosses val="autoZero"/>
        <c:crossBetween val="midCat"/>
      </c:valAx>
      <c:spPr>
        <a:noFill/>
        <a:ln>
          <a:solidFill>
            <a:schemeClr val="tx1"/>
          </a:solidFill>
        </a:ln>
        <a:effectLst/>
      </c:spPr>
    </c:plotArea>
    <c:legend>
      <c:legendPos val="b"/>
      <c:legendEntry>
        <c:idx val="6"/>
        <c:delete val="1"/>
      </c:legendEntry>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en-US"/>
              <a:t>Hybrid Blade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en-US"/>
        </a:p>
      </c:txPr>
    </c:title>
    <c:autoTitleDeleted val="0"/>
    <c:plotArea>
      <c:layout/>
      <c:stockChart>
        <c:ser>
          <c:idx val="0"/>
          <c:order val="0"/>
          <c:tx>
            <c:strRef>
              <c:f>Test!$A$77</c:f>
              <c:strCache>
                <c:ptCount val="1"/>
                <c:pt idx="0">
                  <c:v>High Value Hybrid</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Test!$B$77:$L$77</c:f>
              <c:numCache>
                <c:formatCode>0%</c:formatCode>
                <c:ptCount val="11"/>
                <c:pt idx="0">
                  <c:v>1</c:v>
                </c:pt>
                <c:pt idx="1">
                  <c:v>1</c:v>
                </c:pt>
                <c:pt idx="2">
                  <c:v>0.89</c:v>
                </c:pt>
                <c:pt idx="3">
                  <c:v>1.0558052657002852</c:v>
                </c:pt>
                <c:pt idx="4">
                  <c:v>1.1819604152755905</c:v>
                </c:pt>
                <c:pt idx="5">
                  <c:v>0.92</c:v>
                </c:pt>
                <c:pt idx="6">
                  <c:v>1.2005053868372166</c:v>
                </c:pt>
                <c:pt idx="7">
                  <c:v>1.03</c:v>
                </c:pt>
                <c:pt idx="8">
                  <c:v>0.90413451528024003</c:v>
                </c:pt>
                <c:pt idx="9">
                  <c:v>0.76299711486610144</c:v>
                </c:pt>
                <c:pt idx="10">
                  <c:v>0.52776811417587022</c:v>
                </c:pt>
              </c:numCache>
            </c:numRef>
          </c:val>
          <c:smooth val="0"/>
        </c:ser>
        <c:ser>
          <c:idx val="1"/>
          <c:order val="1"/>
          <c:tx>
            <c:strRef>
              <c:f>Test!$A$78</c:f>
              <c:strCache>
                <c:ptCount val="1"/>
                <c:pt idx="0">
                  <c:v>Upper limit Hybrid</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Test!$B$78:$L$78</c:f>
              <c:numCache>
                <c:formatCode>0%</c:formatCode>
                <c:ptCount val="11"/>
                <c:pt idx="0">
                  <c:v>1</c:v>
                </c:pt>
                <c:pt idx="1">
                  <c:v>1</c:v>
                </c:pt>
                <c:pt idx="2">
                  <c:v>0.87656152248751174</c:v>
                </c:pt>
                <c:pt idx="3">
                  <c:v>1.0254824546974237</c:v>
                </c:pt>
                <c:pt idx="4">
                  <c:v>1.1299999999999999</c:v>
                </c:pt>
                <c:pt idx="5">
                  <c:v>0.89928510654471672</c:v>
                </c:pt>
                <c:pt idx="6">
                  <c:v>1</c:v>
                </c:pt>
                <c:pt idx="7">
                  <c:v>0.84</c:v>
                </c:pt>
                <c:pt idx="8">
                  <c:v>0.90317934673364997</c:v>
                </c:pt>
                <c:pt idx="9">
                  <c:v>0.76060919349962608</c:v>
                </c:pt>
                <c:pt idx="10">
                  <c:v>0.5229922714429196</c:v>
                </c:pt>
              </c:numCache>
            </c:numRef>
          </c:val>
          <c:smooth val="0"/>
        </c:ser>
        <c:ser>
          <c:idx val="2"/>
          <c:order val="2"/>
          <c:tx>
            <c:strRef>
              <c:f>Test!$A$79</c:f>
              <c:strCache>
                <c:ptCount val="1"/>
                <c:pt idx="0">
                  <c:v>Lower limit Hybird</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Test!$B$79:$L$79</c:f>
              <c:numCache>
                <c:formatCode>0%</c:formatCode>
                <c:ptCount val="11"/>
                <c:pt idx="0">
                  <c:v>1</c:v>
                </c:pt>
                <c:pt idx="1">
                  <c:v>1</c:v>
                </c:pt>
                <c:pt idx="2">
                  <c:v>0.87656152248751174</c:v>
                </c:pt>
                <c:pt idx="3">
                  <c:v>1.0254824546974237</c:v>
                </c:pt>
                <c:pt idx="4">
                  <c:v>1.1299999999999999</c:v>
                </c:pt>
                <c:pt idx="5">
                  <c:v>0.89928510654471672</c:v>
                </c:pt>
                <c:pt idx="6">
                  <c:v>1</c:v>
                </c:pt>
                <c:pt idx="7">
                  <c:v>0.84</c:v>
                </c:pt>
                <c:pt idx="8">
                  <c:v>0.90317934673364997</c:v>
                </c:pt>
                <c:pt idx="9">
                  <c:v>0.76060919349962608</c:v>
                </c:pt>
                <c:pt idx="10">
                  <c:v>0.5229922714429196</c:v>
                </c:pt>
              </c:numCache>
            </c:numRef>
          </c:val>
          <c:smooth val="0"/>
        </c:ser>
        <c:ser>
          <c:idx val="3"/>
          <c:order val="3"/>
          <c:tx>
            <c:strRef>
              <c:f>Test!$A$80</c:f>
              <c:strCache>
                <c:ptCount val="1"/>
                <c:pt idx="0">
                  <c:v>Low Value Hybrid</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Test!$B$80:$L$80</c:f>
              <c:numCache>
                <c:formatCode>0%</c:formatCode>
                <c:ptCount val="11"/>
                <c:pt idx="0">
                  <c:v>1</c:v>
                </c:pt>
                <c:pt idx="1">
                  <c:v>0.97</c:v>
                </c:pt>
                <c:pt idx="2">
                  <c:v>0.87656152248751174</c:v>
                </c:pt>
                <c:pt idx="3">
                  <c:v>0.99515964369456245</c:v>
                </c:pt>
                <c:pt idx="4">
                  <c:v>1.0649932041131533</c:v>
                </c:pt>
                <c:pt idx="5">
                  <c:v>0.88563984159342912</c:v>
                </c:pt>
                <c:pt idx="6">
                  <c:v>0.7174630075616355</c:v>
                </c:pt>
                <c:pt idx="7">
                  <c:v>0.78</c:v>
                </c:pt>
                <c:pt idx="8">
                  <c:v>0.9022241781870598</c:v>
                </c:pt>
                <c:pt idx="9">
                  <c:v>0.75822127213315071</c:v>
                </c:pt>
                <c:pt idx="10">
                  <c:v>0.51821642870996898</c:v>
                </c:pt>
              </c:numCache>
            </c:numRef>
          </c:val>
          <c:smooth val="0"/>
        </c:ser>
        <c:dLbls>
          <c:showLegendKey val="0"/>
          <c:showVal val="0"/>
          <c:showCatName val="0"/>
          <c:showSerName val="0"/>
          <c:showPercent val="0"/>
          <c:showBubbleSize val="0"/>
        </c:dLbls>
        <c:hiLowLines>
          <c:spPr>
            <a:ln w="9525">
              <a:solidFill>
                <a:schemeClr val="tx1">
                  <a:lumMod val="75000"/>
                  <a:lumOff val="25000"/>
                </a:schemeClr>
              </a:solidFill>
            </a:ln>
            <a:effectLst/>
          </c:spPr>
        </c:hiLowLines>
        <c:upDownBars>
          <c:gapWidth val="150"/>
          <c:upBars>
            <c:spPr>
              <a:solidFill>
                <a:schemeClr val="lt1"/>
              </a:solidFill>
              <a:ln w="9525">
                <a:solidFill>
                  <a:schemeClr val="tx1">
                    <a:lumMod val="50000"/>
                    <a:lumOff val="50000"/>
                  </a:schemeClr>
                </a:solidFill>
              </a:ln>
              <a:effectLst/>
            </c:spPr>
          </c:upBars>
          <c:downBars>
            <c:spPr>
              <a:solidFill>
                <a:schemeClr val="dk1">
                  <a:lumMod val="75000"/>
                  <a:lumOff val="25000"/>
                </a:schemeClr>
              </a:solidFill>
              <a:ln w="9525">
                <a:solidFill>
                  <a:schemeClr val="tx1">
                    <a:lumMod val="75000"/>
                    <a:lumOff val="25000"/>
                  </a:schemeClr>
                </a:solidFill>
              </a:ln>
              <a:effectLst/>
            </c:spPr>
          </c:downBars>
        </c:upDownBars>
        <c:axId val="949266560"/>
        <c:axId val="949266952"/>
      </c:stockChart>
      <c:catAx>
        <c:axId val="9492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9266952"/>
        <c:crosses val="autoZero"/>
        <c:auto val="1"/>
        <c:lblAlgn val="ctr"/>
        <c:lblOffset val="100"/>
        <c:noMultiLvlLbl val="0"/>
      </c:catAx>
      <c:valAx>
        <c:axId val="949266952"/>
        <c:scaling>
          <c:orientation val="minMax"/>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Relative net impact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926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0"/>
          <c:tx>
            <c:strRef>
              <c:f>'Sensitivity Test Part 2'!$L$29</c:f>
              <c:strCache>
                <c:ptCount val="1"/>
                <c:pt idx="0">
                  <c:v>Incineration Hybrid</c:v>
                </c:pt>
              </c:strCache>
            </c:strRef>
          </c:tx>
          <c:spPr>
            <a:ln w="19050" cap="rnd">
              <a:solidFill>
                <a:schemeClr val="accent3"/>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2'!$M$29:$AG$29</c:f>
              <c:numCache>
                <c:formatCode>0%</c:formatCode>
                <c:ptCount val="21"/>
                <c:pt idx="0">
                  <c:v>-1.1598475208595138E-3</c:v>
                </c:pt>
                <c:pt idx="1">
                  <c:v>-3.9991542519235423E-3</c:v>
                </c:pt>
                <c:pt idx="2">
                  <c:v>-6.8384609829874599E-3</c:v>
                </c:pt>
                <c:pt idx="3">
                  <c:v>-9.6777677140512663E-3</c:v>
                </c:pt>
                <c:pt idx="4">
                  <c:v>-1.2517074445115184E-2</c:v>
                </c:pt>
                <c:pt idx="5">
                  <c:v>-1.5356381176179101E-2</c:v>
                </c:pt>
                <c:pt idx="6">
                  <c:v>-1.819568790724313E-2</c:v>
                </c:pt>
                <c:pt idx="7">
                  <c:v>-2.1034994638307047E-2</c:v>
                </c:pt>
                <c:pt idx="8">
                  <c:v>-2.3874301369370854E-2</c:v>
                </c:pt>
                <c:pt idx="9">
                  <c:v>-2.6713608100434771E-2</c:v>
                </c:pt>
                <c:pt idx="10">
                  <c:v>-2.95529148314988E-2</c:v>
                </c:pt>
                <c:pt idx="11">
                  <c:v>-3.2392221562562717E-2</c:v>
                </c:pt>
                <c:pt idx="12">
                  <c:v>-3.5231528293626635E-2</c:v>
                </c:pt>
                <c:pt idx="13">
                  <c:v>-3.8070835024690441E-2</c:v>
                </c:pt>
                <c:pt idx="14">
                  <c:v>-4.0910141755754359E-2</c:v>
                </c:pt>
                <c:pt idx="15">
                  <c:v>-4.3749448486818387E-2</c:v>
                </c:pt>
                <c:pt idx="16">
                  <c:v>-4.6588755217882305E-2</c:v>
                </c:pt>
                <c:pt idx="17">
                  <c:v>-4.9428061948946334E-2</c:v>
                </c:pt>
                <c:pt idx="18">
                  <c:v>-5.2267368680010029E-2</c:v>
                </c:pt>
                <c:pt idx="19">
                  <c:v>-5.5106675411074058E-2</c:v>
                </c:pt>
                <c:pt idx="20">
                  <c:v>-5.7945982142137975E-2</c:v>
                </c:pt>
              </c:numCache>
            </c:numRef>
          </c:yVal>
          <c:smooth val="1"/>
        </c:ser>
        <c:ser>
          <c:idx val="4"/>
          <c:order val="1"/>
          <c:tx>
            <c:strRef>
              <c:f>'Sensitivity Test Part 2'!$L$32</c:f>
              <c:strCache>
                <c:ptCount val="1"/>
                <c:pt idx="0">
                  <c:v>Mechanical Hybrid</c:v>
                </c:pt>
              </c:strCache>
            </c:strRef>
          </c:tx>
          <c:spPr>
            <a:ln w="19050" cap="rnd">
              <a:solidFill>
                <a:schemeClr val="accent4"/>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2'!$M$32:$AG$32</c:f>
              <c:numCache>
                <c:formatCode>0%</c:formatCode>
                <c:ptCount val="21"/>
                <c:pt idx="0">
                  <c:v>6.822632475644852E-5</c:v>
                </c:pt>
                <c:pt idx="1">
                  <c:v>-1.2282444058967945E-2</c:v>
                </c:pt>
                <c:pt idx="2">
                  <c:v>-2.463311444269245E-2</c:v>
                </c:pt>
                <c:pt idx="3">
                  <c:v>-3.6983784826417065E-2</c:v>
                </c:pt>
                <c:pt idx="4">
                  <c:v>-4.9334455210141459E-2</c:v>
                </c:pt>
                <c:pt idx="5">
                  <c:v>-6.1685125593865964E-2</c:v>
                </c:pt>
                <c:pt idx="6">
                  <c:v>-7.4035795977590357E-2</c:v>
                </c:pt>
                <c:pt idx="7">
                  <c:v>-8.6386466361314862E-2</c:v>
                </c:pt>
                <c:pt idx="8">
                  <c:v>-9.8737136745039256E-2</c:v>
                </c:pt>
                <c:pt idx="9">
                  <c:v>-0.11108780712876376</c:v>
                </c:pt>
                <c:pt idx="10">
                  <c:v>-0.12343847751248826</c:v>
                </c:pt>
                <c:pt idx="11">
                  <c:v>-0.13578914789621277</c:v>
                </c:pt>
                <c:pt idx="12">
                  <c:v>-0.14813981827993716</c:v>
                </c:pt>
                <c:pt idx="13">
                  <c:v>-0.16049048866366167</c:v>
                </c:pt>
                <c:pt idx="14">
                  <c:v>-0.17284115904738617</c:v>
                </c:pt>
                <c:pt idx="15">
                  <c:v>-0.18519182943111057</c:v>
                </c:pt>
                <c:pt idx="16">
                  <c:v>-0.19754249981483507</c:v>
                </c:pt>
                <c:pt idx="17">
                  <c:v>-0.20989317019855958</c:v>
                </c:pt>
                <c:pt idx="18">
                  <c:v>-0.22224384058228408</c:v>
                </c:pt>
                <c:pt idx="19">
                  <c:v>-0.23459451096600847</c:v>
                </c:pt>
                <c:pt idx="20">
                  <c:v>-0.24694518134973298</c:v>
                </c:pt>
              </c:numCache>
            </c:numRef>
          </c:yVal>
          <c:smooth val="1"/>
        </c:ser>
        <c:ser>
          <c:idx val="7"/>
          <c:order val="2"/>
          <c:tx>
            <c:strRef>
              <c:f>'Sensitivity Test Part 2'!$L$35</c:f>
              <c:strCache>
                <c:ptCount val="1"/>
                <c:pt idx="0">
                  <c:v>Pyrolysis/MAP Hybrid</c:v>
                </c:pt>
              </c:strCache>
            </c:strRef>
          </c:tx>
          <c:spPr>
            <a:ln w="19050" cap="rnd">
              <a:solidFill>
                <a:schemeClr val="accent2"/>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2'!$M$35:$AG$35</c:f>
              <c:numCache>
                <c:formatCode>0%</c:formatCode>
                <c:ptCount val="21"/>
                <c:pt idx="0">
                  <c:v>0.29064414346242562</c:v>
                </c:pt>
                <c:pt idx="1">
                  <c:v>0.27422014784937465</c:v>
                </c:pt>
                <c:pt idx="2">
                  <c:v>0.25779615223632368</c:v>
                </c:pt>
                <c:pt idx="3">
                  <c:v>0.24137215662327272</c:v>
                </c:pt>
                <c:pt idx="4">
                  <c:v>0.22494816101022175</c:v>
                </c:pt>
                <c:pt idx="5">
                  <c:v>0.208524165397171</c:v>
                </c:pt>
                <c:pt idx="6">
                  <c:v>0.19210016978412003</c:v>
                </c:pt>
                <c:pt idx="7">
                  <c:v>0.17567617417106907</c:v>
                </c:pt>
                <c:pt idx="8">
                  <c:v>0.1592521785580181</c:v>
                </c:pt>
                <c:pt idx="9">
                  <c:v>0.14282818294496713</c:v>
                </c:pt>
                <c:pt idx="10">
                  <c:v>0.12640418733191616</c:v>
                </c:pt>
                <c:pt idx="11">
                  <c:v>0.10998019171886519</c:v>
                </c:pt>
                <c:pt idx="12">
                  <c:v>9.3556196105814227E-2</c:v>
                </c:pt>
                <c:pt idx="13">
                  <c:v>7.7132200492763259E-2</c:v>
                </c:pt>
                <c:pt idx="14">
                  <c:v>6.0708204879712291E-2</c:v>
                </c:pt>
                <c:pt idx="15">
                  <c:v>4.4284209266661323E-2</c:v>
                </c:pt>
                <c:pt idx="16">
                  <c:v>2.7860213653610355E-2</c:v>
                </c:pt>
                <c:pt idx="17">
                  <c:v>1.1436218040559387E-2</c:v>
                </c:pt>
                <c:pt idx="18">
                  <c:v>-4.9877775724915807E-3</c:v>
                </c:pt>
                <c:pt idx="19">
                  <c:v>-2.1411773185542327E-2</c:v>
                </c:pt>
                <c:pt idx="20">
                  <c:v>-3.7835768798593516E-2</c:v>
                </c:pt>
              </c:numCache>
            </c:numRef>
          </c:yVal>
          <c:smooth val="1"/>
        </c:ser>
        <c:ser>
          <c:idx val="10"/>
          <c:order val="3"/>
          <c:tx>
            <c:strRef>
              <c:f>'Sensitivity Test Part 2'!$L$38</c:f>
              <c:strCache>
                <c:ptCount val="1"/>
                <c:pt idx="0">
                  <c:v>Fluidised bed Hybrid</c:v>
                </c:pt>
              </c:strCache>
            </c:strRef>
          </c:tx>
          <c:spPr>
            <a:ln w="19050" cap="rnd">
              <a:solidFill>
                <a:schemeClr val="accent4">
                  <a:lumMod val="50000"/>
                </a:schemeClr>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2'!$M$38:$AG$38</c:f>
              <c:numCache>
                <c:formatCode>0%</c:formatCode>
                <c:ptCount val="21"/>
                <c:pt idx="0">
                  <c:v>0.14984017057063914</c:v>
                </c:pt>
                <c:pt idx="1">
                  <c:v>0.13740439898331758</c:v>
                </c:pt>
                <c:pt idx="2">
                  <c:v>0.12496862739599601</c:v>
                </c:pt>
                <c:pt idx="3">
                  <c:v>0.11253285580867445</c:v>
                </c:pt>
                <c:pt idx="4">
                  <c:v>0.10009708422135311</c:v>
                </c:pt>
                <c:pt idx="5">
                  <c:v>8.7661312634031541E-2</c:v>
                </c:pt>
                <c:pt idx="6">
                  <c:v>7.5225541046709976E-2</c:v>
                </c:pt>
                <c:pt idx="7">
                  <c:v>6.2789769459388411E-2</c:v>
                </c:pt>
                <c:pt idx="8">
                  <c:v>5.0353997872066847E-2</c:v>
                </c:pt>
                <c:pt idx="9">
                  <c:v>3.7918226284745282E-2</c:v>
                </c:pt>
                <c:pt idx="10">
                  <c:v>2.5482454697423718E-2</c:v>
                </c:pt>
                <c:pt idx="11">
                  <c:v>1.3046683110102153E-2</c:v>
                </c:pt>
                <c:pt idx="12">
                  <c:v>6.1091152278058836E-4</c:v>
                </c:pt>
                <c:pt idx="13">
                  <c:v>-1.1824860064540865E-2</c:v>
                </c:pt>
                <c:pt idx="14">
                  <c:v>-2.426063165186243E-2</c:v>
                </c:pt>
                <c:pt idx="15">
                  <c:v>-3.6696403239183883E-2</c:v>
                </c:pt>
                <c:pt idx="16">
                  <c:v>-4.9132174826505448E-2</c:v>
                </c:pt>
                <c:pt idx="17">
                  <c:v>-6.1567946413826902E-2</c:v>
                </c:pt>
                <c:pt idx="18">
                  <c:v>-7.4003718001148466E-2</c:v>
                </c:pt>
                <c:pt idx="19">
                  <c:v>-8.643948958846992E-2</c:v>
                </c:pt>
                <c:pt idx="20">
                  <c:v>-9.8875261175791485E-2</c:v>
                </c:pt>
              </c:numCache>
            </c:numRef>
          </c:yVal>
          <c:smooth val="1"/>
        </c:ser>
        <c:ser>
          <c:idx val="13"/>
          <c:order val="4"/>
          <c:tx>
            <c:strRef>
              <c:f>'Sensitivity Test Part 2'!$L$41</c:f>
              <c:strCache>
                <c:ptCount val="1"/>
                <c:pt idx="0">
                  <c:v>Chemical Hybrid</c:v>
                </c:pt>
              </c:strCache>
            </c:strRef>
          </c:tx>
          <c:spPr>
            <a:ln w="19050" cap="rnd">
              <a:solidFill>
                <a:schemeClr val="accent1"/>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2'!$M$41:$AG$41</c:f>
              <c:numCache>
                <c:formatCode>0%</c:formatCode>
                <c:ptCount val="21"/>
                <c:pt idx="0">
                  <c:v>0.12922065908869351</c:v>
                </c:pt>
                <c:pt idx="1">
                  <c:v>8.8044893935987689E-2</c:v>
                </c:pt>
                <c:pt idx="2">
                  <c:v>4.6869128783281866E-2</c:v>
                </c:pt>
                <c:pt idx="3">
                  <c:v>5.6933636305760427E-3</c:v>
                </c:pt>
                <c:pt idx="4">
                  <c:v>-3.5482401522129781E-2</c:v>
                </c:pt>
                <c:pt idx="5">
                  <c:v>-7.6658166674835493E-2</c:v>
                </c:pt>
                <c:pt idx="6">
                  <c:v>-0.11783393182754132</c:v>
                </c:pt>
                <c:pt idx="7">
                  <c:v>-0.15900969698024714</c:v>
                </c:pt>
                <c:pt idx="8">
                  <c:v>-0.20018546213295296</c:v>
                </c:pt>
                <c:pt idx="9">
                  <c:v>-0.24136122728565879</c:v>
                </c:pt>
                <c:pt idx="10">
                  <c:v>-0.2825369924383645</c:v>
                </c:pt>
                <c:pt idx="11">
                  <c:v>-0.32371275759107032</c:v>
                </c:pt>
                <c:pt idx="12">
                  <c:v>-0.36488852274377603</c:v>
                </c:pt>
                <c:pt idx="13">
                  <c:v>-0.40606428789648197</c:v>
                </c:pt>
                <c:pt idx="14">
                  <c:v>-0.44724005304918768</c:v>
                </c:pt>
                <c:pt idx="15">
                  <c:v>-0.48841581820189361</c:v>
                </c:pt>
                <c:pt idx="16">
                  <c:v>-0.52959158335459944</c:v>
                </c:pt>
                <c:pt idx="17">
                  <c:v>-0.57076734850730515</c:v>
                </c:pt>
                <c:pt idx="18">
                  <c:v>-0.61194311366001097</c:v>
                </c:pt>
                <c:pt idx="19">
                  <c:v>-0.65311887881271669</c:v>
                </c:pt>
                <c:pt idx="20">
                  <c:v>-0.69429464396542251</c:v>
                </c:pt>
              </c:numCache>
            </c:numRef>
          </c:yVal>
          <c:smooth val="1"/>
        </c:ser>
        <c:ser>
          <c:idx val="16"/>
          <c:order val="5"/>
          <c:tx>
            <c:strRef>
              <c:f>'Sensitivity Test Part 2'!$L$44</c:f>
              <c:strCache>
                <c:ptCount val="1"/>
                <c:pt idx="0">
                  <c:v>HVF Hybrid</c:v>
                </c:pt>
              </c:strCache>
            </c:strRef>
          </c:tx>
          <c:spPr>
            <a:ln w="19050" cap="rnd">
              <a:solidFill>
                <a:schemeClr val="accent6"/>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2'!$M$44:$AG$44</c:f>
              <c:numCache>
                <c:formatCode>0%</c:formatCode>
                <c:ptCount val="21"/>
                <c:pt idx="0">
                  <c:v>0.10875276166176207</c:v>
                </c:pt>
                <c:pt idx="1">
                  <c:v>8.2238274501520214E-2</c:v>
                </c:pt>
                <c:pt idx="2">
                  <c:v>5.5723787341278364E-2</c:v>
                </c:pt>
                <c:pt idx="3">
                  <c:v>2.9209300181036513E-2</c:v>
                </c:pt>
                <c:pt idx="4">
                  <c:v>2.6948130207944399E-3</c:v>
                </c:pt>
                <c:pt idx="5">
                  <c:v>-2.3819674139447189E-2</c:v>
                </c:pt>
                <c:pt idx="6">
                  <c:v>-5.033416129968904E-2</c:v>
                </c:pt>
                <c:pt idx="7">
                  <c:v>-7.6848648459931002E-2</c:v>
                </c:pt>
                <c:pt idx="8">
                  <c:v>-0.10336313562017285</c:v>
                </c:pt>
                <c:pt idx="9">
                  <c:v>-0.1298776227804147</c:v>
                </c:pt>
                <c:pt idx="10">
                  <c:v>-0.15639210994065667</c:v>
                </c:pt>
                <c:pt idx="11">
                  <c:v>-0.18290659710089852</c:v>
                </c:pt>
                <c:pt idx="12">
                  <c:v>-0.20942108426114037</c:v>
                </c:pt>
                <c:pt idx="13">
                  <c:v>-0.23593557142138222</c:v>
                </c:pt>
                <c:pt idx="14">
                  <c:v>-0.26245005858162407</c:v>
                </c:pt>
                <c:pt idx="15">
                  <c:v>-0.28896454574186592</c:v>
                </c:pt>
                <c:pt idx="16">
                  <c:v>-0.31547903290210788</c:v>
                </c:pt>
                <c:pt idx="17">
                  <c:v>-0.34199352006234973</c:v>
                </c:pt>
                <c:pt idx="18">
                  <c:v>-0.36850800722259158</c:v>
                </c:pt>
                <c:pt idx="19">
                  <c:v>-0.39502249438283343</c:v>
                </c:pt>
                <c:pt idx="20">
                  <c:v>-0.42153698154307528</c:v>
                </c:pt>
              </c:numCache>
            </c:numRef>
          </c:yVal>
          <c:smooth val="1"/>
        </c:ser>
        <c:dLbls>
          <c:showLegendKey val="0"/>
          <c:showVal val="0"/>
          <c:showCatName val="0"/>
          <c:showSerName val="0"/>
          <c:showPercent val="0"/>
          <c:showBubbleSize val="0"/>
        </c:dLbls>
        <c:axId val="949267736"/>
        <c:axId val="948240416"/>
      </c:scatterChart>
      <c:scatterChart>
        <c:scatterStyle val="lineMarker"/>
        <c:varyColors val="0"/>
        <c:ser>
          <c:idx val="0"/>
          <c:order val="6"/>
          <c:tx>
            <c:strRef>
              <c:f>'Sensitivity Test Part 2'!$AF$96</c:f>
              <c:strCache>
                <c:ptCount val="1"/>
                <c:pt idx="0">
                  <c:v>Chemical-0.69</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8.2699751183584316E-2"/>
                  <c:y val="8.3371169512901799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2'!$AF$94</c:f>
              <c:numCache>
                <c:formatCode>0%</c:formatCode>
                <c:ptCount val="1"/>
                <c:pt idx="0">
                  <c:v>-0.69</c:v>
                </c:pt>
              </c:numCache>
            </c:numRef>
          </c:xVal>
          <c:yVal>
            <c:numRef>
              <c:f>'Sensitivity Test Part 2'!$AF$95</c:f>
              <c:numCache>
                <c:formatCode>0%</c:formatCode>
                <c:ptCount val="1"/>
                <c:pt idx="0">
                  <c:v>0</c:v>
                </c:pt>
              </c:numCache>
            </c:numRef>
          </c:yVal>
          <c:smooth val="0"/>
        </c:ser>
        <c:ser>
          <c:idx val="2"/>
          <c:order val="7"/>
          <c:tx>
            <c:strRef>
              <c:f>'Sensitivity Test Part 2'!$AF$101</c:f>
              <c:strCache>
                <c:ptCount val="1"/>
                <c:pt idx="0">
                  <c:v>Fluidised Bed0.2</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5.4945489969782144E-2"/>
                  <c:y val="-9.5294451829884899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2'!$AF$99</c:f>
              <c:numCache>
                <c:formatCode>0%</c:formatCode>
                <c:ptCount val="1"/>
                <c:pt idx="0">
                  <c:v>0.2</c:v>
                </c:pt>
              </c:numCache>
            </c:numRef>
          </c:xVal>
          <c:yVal>
            <c:numRef>
              <c:f>'Sensitivity Test Part 2'!$AF$100</c:f>
              <c:numCache>
                <c:formatCode>0%</c:formatCode>
                <c:ptCount val="1"/>
                <c:pt idx="0">
                  <c:v>0</c:v>
                </c:pt>
              </c:numCache>
            </c:numRef>
          </c:yVal>
          <c:smooth val="0"/>
        </c:ser>
        <c:ser>
          <c:idx val="3"/>
          <c:order val="8"/>
          <c:tx>
            <c:strRef>
              <c:f>'Sensitivity Test Part 2'!$AF$106</c:f>
              <c:strCache>
                <c:ptCount val="1"/>
                <c:pt idx="0">
                  <c:v>HVF-0.6</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1.6715126921191616E-2"/>
                  <c:y val="8.6523729988296924E-2"/>
                </c:manualLayout>
              </c:layout>
              <c:showLegendKey val="0"/>
              <c:showVal val="0"/>
              <c:showCatName val="0"/>
              <c:showSerName val="1"/>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2'!$AF$104</c:f>
              <c:numCache>
                <c:formatCode>0%</c:formatCode>
                <c:ptCount val="1"/>
                <c:pt idx="0">
                  <c:v>-0.6</c:v>
                </c:pt>
              </c:numCache>
            </c:numRef>
          </c:xVal>
          <c:yVal>
            <c:numRef>
              <c:f>'Sensitivity Test Part 2'!$AF$105</c:f>
              <c:numCache>
                <c:formatCode>0%</c:formatCode>
                <c:ptCount val="1"/>
                <c:pt idx="0">
                  <c:v>0</c:v>
                </c:pt>
              </c:numCache>
            </c:numRef>
          </c:yVal>
          <c:smooth val="0"/>
        </c:ser>
        <c:ser>
          <c:idx val="5"/>
          <c:order val="9"/>
          <c:tx>
            <c:strRef>
              <c:f>'Sensitivity Test Part 2'!$AF$111</c:f>
              <c:strCache>
                <c:ptCount val="1"/>
                <c:pt idx="0">
                  <c:v>Pyrolysis0.8</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4.7281323877068557E-2"/>
                  <c:y val="-4.9062049062049064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2'!$AF$109</c:f>
              <c:numCache>
                <c:formatCode>0%</c:formatCode>
                <c:ptCount val="1"/>
                <c:pt idx="0">
                  <c:v>0.8</c:v>
                </c:pt>
              </c:numCache>
            </c:numRef>
          </c:xVal>
          <c:yVal>
            <c:numRef>
              <c:f>'Sensitivity Test Part 2'!$AF$110</c:f>
              <c:numCache>
                <c:formatCode>0%</c:formatCode>
                <c:ptCount val="1"/>
                <c:pt idx="0">
                  <c:v>0</c:v>
                </c:pt>
              </c:numCache>
            </c:numRef>
          </c:yVal>
          <c:smooth val="0"/>
        </c:ser>
        <c:dLbls>
          <c:showLegendKey val="0"/>
          <c:showVal val="0"/>
          <c:showCatName val="0"/>
          <c:showSerName val="0"/>
          <c:showPercent val="0"/>
          <c:showBubbleSize val="0"/>
        </c:dLbls>
        <c:axId val="949267736"/>
        <c:axId val="948240416"/>
      </c:scatterChart>
      <c:valAx>
        <c:axId val="949267736"/>
        <c:scaling>
          <c:orientation val="minMax"/>
          <c:max val="1"/>
          <c:min val="-1"/>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Recyclate</a:t>
                </a:r>
                <a:r>
                  <a:rPr lang="zh-CN"/>
                  <a:t> </a:t>
                </a:r>
                <a:r>
                  <a:rPr lang="en-US"/>
                  <a:t>value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8240416"/>
        <c:crosses val="autoZero"/>
        <c:crossBetween val="midCat"/>
      </c:valAx>
      <c:valAx>
        <c:axId val="9482404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Net impact Variation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low"/>
        <c:spPr>
          <a:noFill/>
          <a:ln w="9525" cap="flat" cmpd="sng" algn="ctr">
            <a:solidFill>
              <a:schemeClr val="bg2"/>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9267736"/>
        <c:crosses val="autoZero"/>
        <c:crossBetween val="midCat"/>
      </c:valAx>
      <c:spPr>
        <a:noFill/>
        <a:ln>
          <a:solidFill>
            <a:schemeClr val="tx1"/>
          </a:solidFill>
        </a:ln>
        <a:effectLst/>
      </c:spPr>
    </c:plotArea>
    <c:legend>
      <c:legendPos val="b"/>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en-US"/>
              <a:t>CF</a:t>
            </a:r>
            <a:r>
              <a:rPr lang="zh-CN"/>
              <a:t> </a:t>
            </a:r>
            <a:r>
              <a:rPr lang="en-US"/>
              <a:t>Blade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en-US"/>
        </a:p>
      </c:txPr>
    </c:title>
    <c:autoTitleDeleted val="0"/>
    <c:plotArea>
      <c:layout/>
      <c:stockChart>
        <c:ser>
          <c:idx val="0"/>
          <c:order val="0"/>
          <c:tx>
            <c:strRef>
              <c:f>Test!$A$83</c:f>
              <c:strCache>
                <c:ptCount val="1"/>
                <c:pt idx="0">
                  <c:v>High Value CF</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Test!$B$83:$L$83</c:f>
              <c:numCache>
                <c:formatCode>0%</c:formatCode>
                <c:ptCount val="11"/>
                <c:pt idx="0">
                  <c:v>1</c:v>
                </c:pt>
                <c:pt idx="1">
                  <c:v>1</c:v>
                </c:pt>
                <c:pt idx="2">
                  <c:v>0.88</c:v>
                </c:pt>
                <c:pt idx="3">
                  <c:v>0.89620669810780318</c:v>
                </c:pt>
                <c:pt idx="4">
                  <c:v>0.95</c:v>
                </c:pt>
                <c:pt idx="5">
                  <c:v>0.8</c:v>
                </c:pt>
                <c:pt idx="6">
                  <c:v>0.81992101077497193</c:v>
                </c:pt>
                <c:pt idx="7">
                  <c:v>0.82</c:v>
                </c:pt>
                <c:pt idx="8">
                  <c:v>0.90536177937013262</c:v>
                </c:pt>
                <c:pt idx="9">
                  <c:v>0.76485323374895331</c:v>
                </c:pt>
                <c:pt idx="10">
                  <c:v>0.5306723243803213</c:v>
                </c:pt>
              </c:numCache>
            </c:numRef>
          </c:val>
          <c:smooth val="0"/>
        </c:ser>
        <c:ser>
          <c:idx val="1"/>
          <c:order val="1"/>
          <c:tx>
            <c:strRef>
              <c:f>Test!$A$84</c:f>
              <c:strCache>
                <c:ptCount val="1"/>
                <c:pt idx="0">
                  <c:v>Upper limit CF</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Test!$B$84:$L$84</c:f>
              <c:numCache>
                <c:formatCode>0%</c:formatCode>
                <c:ptCount val="11"/>
                <c:pt idx="0">
                  <c:v>1</c:v>
                </c:pt>
                <c:pt idx="1">
                  <c:v>1</c:v>
                </c:pt>
                <c:pt idx="2">
                  <c:v>0.86925749401177688</c:v>
                </c:pt>
                <c:pt idx="3">
                  <c:v>0.87969632404943676</c:v>
                </c:pt>
                <c:pt idx="4">
                  <c:v>0.90701143303479947</c:v>
                </c:pt>
                <c:pt idx="5">
                  <c:v>0.78494198243426694</c:v>
                </c:pt>
                <c:pt idx="6">
                  <c:v>0.71</c:v>
                </c:pt>
                <c:pt idx="7">
                  <c:v>0.70388860328676472</c:v>
                </c:pt>
                <c:pt idx="8">
                  <c:v>0.90432327094274845</c:v>
                </c:pt>
                <c:pt idx="9">
                  <c:v>0.76225696268049259</c:v>
                </c:pt>
                <c:pt idx="10">
                  <c:v>0.52547978224339986</c:v>
                </c:pt>
              </c:numCache>
            </c:numRef>
          </c:val>
          <c:smooth val="0"/>
        </c:ser>
        <c:ser>
          <c:idx val="2"/>
          <c:order val="2"/>
          <c:tx>
            <c:strRef>
              <c:f>Test!$A$85</c:f>
              <c:strCache>
                <c:ptCount val="1"/>
                <c:pt idx="0">
                  <c:v>Lower limit CF</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Test!$B$85:$L$85</c:f>
              <c:numCache>
                <c:formatCode>0%</c:formatCode>
                <c:ptCount val="11"/>
                <c:pt idx="0">
                  <c:v>1</c:v>
                </c:pt>
                <c:pt idx="1">
                  <c:v>1</c:v>
                </c:pt>
                <c:pt idx="2">
                  <c:v>0.86925749401177688</c:v>
                </c:pt>
                <c:pt idx="3">
                  <c:v>0.87969632404943676</c:v>
                </c:pt>
                <c:pt idx="4">
                  <c:v>0.90701143303479947</c:v>
                </c:pt>
                <c:pt idx="5">
                  <c:v>0.78494198243426694</c:v>
                </c:pt>
                <c:pt idx="6">
                  <c:v>0.71</c:v>
                </c:pt>
                <c:pt idx="7">
                  <c:v>0.70388860328676472</c:v>
                </c:pt>
                <c:pt idx="8">
                  <c:v>0.90432327094274845</c:v>
                </c:pt>
                <c:pt idx="9">
                  <c:v>0.76225696268049259</c:v>
                </c:pt>
                <c:pt idx="10">
                  <c:v>0.52547978224339986</c:v>
                </c:pt>
              </c:numCache>
            </c:numRef>
          </c:val>
          <c:smooth val="0"/>
        </c:ser>
        <c:ser>
          <c:idx val="3"/>
          <c:order val="3"/>
          <c:tx>
            <c:strRef>
              <c:f>Test!$A$86</c:f>
              <c:strCache>
                <c:ptCount val="1"/>
                <c:pt idx="0">
                  <c:v>Low Value CF</c:v>
                </c:pt>
              </c:strCache>
            </c:strRef>
          </c:tx>
          <c:spPr>
            <a:ln w="25400" cap="rnd">
              <a:noFill/>
              <a:round/>
            </a:ln>
            <a:effectLst/>
          </c:spPr>
          <c:marker>
            <c:symbol val="none"/>
          </c:marker>
          <c:cat>
            <c:strRef>
              <c:f>Test!$B$70:$L$70</c:f>
              <c:strCache>
                <c:ptCount val="11"/>
                <c:pt idx="0">
                  <c:v>Landfill</c:v>
                </c:pt>
                <c:pt idx="1">
                  <c:v>Incineration</c:v>
                </c:pt>
                <c:pt idx="2">
                  <c:v>Mechanical</c:v>
                </c:pt>
                <c:pt idx="3">
                  <c:v>Fluidised bed</c:v>
                </c:pt>
                <c:pt idx="4">
                  <c:v>Pyrolysis</c:v>
                </c:pt>
                <c:pt idx="5">
                  <c:v>MAP</c:v>
                </c:pt>
                <c:pt idx="6">
                  <c:v>Chemical</c:v>
                </c:pt>
                <c:pt idx="7">
                  <c:v>HVF</c:v>
                </c:pt>
                <c:pt idx="8">
                  <c:v>LE 2 years</c:v>
                </c:pt>
                <c:pt idx="9">
                  <c:v>LE 5 years</c:v>
                </c:pt>
                <c:pt idx="10">
                  <c:v>LE 10 years</c:v>
                </c:pt>
              </c:strCache>
            </c:strRef>
          </c:cat>
          <c:val>
            <c:numRef>
              <c:f>Test!$B$86:$L$86</c:f>
              <c:numCache>
                <c:formatCode>0%</c:formatCode>
                <c:ptCount val="11"/>
                <c:pt idx="0">
                  <c:v>1</c:v>
                </c:pt>
                <c:pt idx="1">
                  <c:v>0.98</c:v>
                </c:pt>
                <c:pt idx="2">
                  <c:v>0.86925749401177688</c:v>
                </c:pt>
                <c:pt idx="3">
                  <c:v>0.86318594999107023</c:v>
                </c:pt>
                <c:pt idx="4">
                  <c:v>0.87516787458842793</c:v>
                </c:pt>
                <c:pt idx="5">
                  <c:v>0.77751231410800214</c:v>
                </c:pt>
                <c:pt idx="6">
                  <c:v>0.55691075202519413</c:v>
                </c:pt>
                <c:pt idx="7">
                  <c:v>0.69</c:v>
                </c:pt>
                <c:pt idx="8">
                  <c:v>0.90328476251536416</c:v>
                </c:pt>
                <c:pt idx="9">
                  <c:v>0.75966069161203209</c:v>
                </c:pt>
                <c:pt idx="10">
                  <c:v>0.52028724010647842</c:v>
                </c:pt>
              </c:numCache>
            </c:numRef>
          </c:val>
          <c:smooth val="0"/>
        </c:ser>
        <c:dLbls>
          <c:showLegendKey val="0"/>
          <c:showVal val="0"/>
          <c:showCatName val="0"/>
          <c:showSerName val="0"/>
          <c:showPercent val="0"/>
          <c:showBubbleSize val="0"/>
        </c:dLbls>
        <c:hiLowLines>
          <c:spPr>
            <a:ln w="9525">
              <a:solidFill>
                <a:schemeClr val="tx1">
                  <a:lumMod val="75000"/>
                  <a:lumOff val="25000"/>
                </a:schemeClr>
              </a:solidFill>
            </a:ln>
            <a:effectLst/>
          </c:spPr>
        </c:hiLowLines>
        <c:upDownBars>
          <c:gapWidth val="150"/>
          <c:upBars>
            <c:spPr>
              <a:solidFill>
                <a:schemeClr val="lt1"/>
              </a:solidFill>
              <a:ln w="9525">
                <a:solidFill>
                  <a:schemeClr val="tx1">
                    <a:lumMod val="50000"/>
                    <a:lumOff val="50000"/>
                  </a:schemeClr>
                </a:solidFill>
              </a:ln>
              <a:effectLst/>
            </c:spPr>
          </c:upBars>
          <c:downBars>
            <c:spPr>
              <a:solidFill>
                <a:schemeClr val="dk1">
                  <a:lumMod val="75000"/>
                  <a:lumOff val="25000"/>
                </a:schemeClr>
              </a:solidFill>
              <a:ln w="9525">
                <a:solidFill>
                  <a:schemeClr val="tx1">
                    <a:lumMod val="75000"/>
                    <a:lumOff val="25000"/>
                  </a:schemeClr>
                </a:solidFill>
              </a:ln>
              <a:effectLst/>
            </c:spPr>
          </c:downBars>
        </c:upDownBars>
        <c:axId val="948241200"/>
        <c:axId val="948241592"/>
      </c:stockChart>
      <c:catAx>
        <c:axId val="94824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8241592"/>
        <c:crosses val="autoZero"/>
        <c:auto val="1"/>
        <c:lblAlgn val="ctr"/>
        <c:lblOffset val="100"/>
        <c:noMultiLvlLbl val="0"/>
      </c:catAx>
      <c:valAx>
        <c:axId val="948241592"/>
        <c:scaling>
          <c:orientation val="minMax"/>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Relative Net Impact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4824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'Sensitivity Test Part 2'!$L$30</c:f>
              <c:strCache>
                <c:ptCount val="1"/>
                <c:pt idx="0">
                  <c:v>Incineration CF</c:v>
                </c:pt>
              </c:strCache>
            </c:strRef>
          </c:tx>
          <c:spPr>
            <a:ln w="19050" cap="rnd">
              <a:solidFill>
                <a:schemeClr val="accent3"/>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2'!$M$30:$AG$30</c:f>
              <c:numCache>
                <c:formatCode>0%</c:formatCode>
                <c:ptCount val="21"/>
                <c:pt idx="0">
                  <c:v>-6.3152180773251576E-4</c:v>
                </c:pt>
                <c:pt idx="1">
                  <c:v>-2.1774871930617667E-3</c:v>
                </c:pt>
                <c:pt idx="2">
                  <c:v>-3.7234525783909067E-3</c:v>
                </c:pt>
                <c:pt idx="3">
                  <c:v>-5.2694179637201577E-3</c:v>
                </c:pt>
                <c:pt idx="4">
                  <c:v>-6.8153833490492977E-3</c:v>
                </c:pt>
                <c:pt idx="5">
                  <c:v>-8.3613487343784376E-3</c:v>
                </c:pt>
                <c:pt idx="6">
                  <c:v>-9.9073141197077996E-3</c:v>
                </c:pt>
                <c:pt idx="7">
                  <c:v>-1.1453279505037051E-2</c:v>
                </c:pt>
                <c:pt idx="8">
                  <c:v>-1.2999244890366191E-2</c:v>
                </c:pt>
                <c:pt idx="9">
                  <c:v>-1.4545210275695331E-2</c:v>
                </c:pt>
                <c:pt idx="10">
                  <c:v>-1.6091175661024582E-2</c:v>
                </c:pt>
                <c:pt idx="11">
                  <c:v>-1.7637141046353721E-2</c:v>
                </c:pt>
                <c:pt idx="12">
                  <c:v>-1.9183106431682972E-2</c:v>
                </c:pt>
                <c:pt idx="13">
                  <c:v>-2.0729071817012112E-2</c:v>
                </c:pt>
                <c:pt idx="14">
                  <c:v>-2.2275037202341363E-2</c:v>
                </c:pt>
                <c:pt idx="15">
                  <c:v>-2.3821002587670503E-2</c:v>
                </c:pt>
                <c:pt idx="16">
                  <c:v>-2.5366967972999643E-2</c:v>
                </c:pt>
                <c:pt idx="17">
                  <c:v>-2.6912933358329005E-2</c:v>
                </c:pt>
                <c:pt idx="18">
                  <c:v>-2.8458898743658256E-2</c:v>
                </c:pt>
                <c:pt idx="19">
                  <c:v>-3.0004864128987396E-2</c:v>
                </c:pt>
                <c:pt idx="20">
                  <c:v>-3.1550829514316536E-2</c:v>
                </c:pt>
              </c:numCache>
            </c:numRef>
          </c:yVal>
          <c:smooth val="1"/>
        </c:ser>
        <c:ser>
          <c:idx val="5"/>
          <c:order val="1"/>
          <c:tx>
            <c:strRef>
              <c:f>'Sensitivity Test Part 2'!$L$33</c:f>
              <c:strCache>
                <c:ptCount val="1"/>
                <c:pt idx="0">
                  <c:v>Mechanical CF</c:v>
                </c:pt>
              </c:strCache>
            </c:strRef>
          </c:tx>
          <c:spPr>
            <a:ln w="19050" cap="rnd">
              <a:solidFill>
                <a:schemeClr val="accent4"/>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2'!$M$33:$AG$33</c:f>
              <c:numCache>
                <c:formatCode>0%</c:formatCode>
                <c:ptCount val="21"/>
                <c:pt idx="0">
                  <c:v>1.4859336652528476E-4</c:v>
                </c:pt>
                <c:pt idx="1">
                  <c:v>-1.2929372066460276E-2</c:v>
                </c:pt>
                <c:pt idx="2">
                  <c:v>-2.6007337499445726E-2</c:v>
                </c:pt>
                <c:pt idx="3">
                  <c:v>-3.9085302932431065E-2</c:v>
                </c:pt>
                <c:pt idx="4">
                  <c:v>-5.2163268365416515E-2</c:v>
                </c:pt>
                <c:pt idx="5">
                  <c:v>-6.5241233798401965E-2</c:v>
                </c:pt>
                <c:pt idx="6">
                  <c:v>-7.8319199231387415E-2</c:v>
                </c:pt>
                <c:pt idx="7">
                  <c:v>-9.1397164664372754E-2</c:v>
                </c:pt>
                <c:pt idx="8">
                  <c:v>-0.1044751300973582</c:v>
                </c:pt>
                <c:pt idx="9">
                  <c:v>-0.11755309553034365</c:v>
                </c:pt>
                <c:pt idx="10">
                  <c:v>-0.13063106096332922</c:v>
                </c:pt>
                <c:pt idx="11">
                  <c:v>-0.14370902639631467</c:v>
                </c:pt>
                <c:pt idx="12">
                  <c:v>-0.1567869918293</c:v>
                </c:pt>
                <c:pt idx="13">
                  <c:v>-0.16986495726228545</c:v>
                </c:pt>
                <c:pt idx="14">
                  <c:v>-0.1829429226952709</c:v>
                </c:pt>
                <c:pt idx="15">
                  <c:v>-0.19602088812825635</c:v>
                </c:pt>
                <c:pt idx="16">
                  <c:v>-0.2090988535612418</c:v>
                </c:pt>
                <c:pt idx="17">
                  <c:v>-0.22217681899422714</c:v>
                </c:pt>
                <c:pt idx="18">
                  <c:v>-0.23525478442721259</c:v>
                </c:pt>
                <c:pt idx="19">
                  <c:v>-0.24833274986019815</c:v>
                </c:pt>
                <c:pt idx="20">
                  <c:v>-0.2614107152931836</c:v>
                </c:pt>
              </c:numCache>
            </c:numRef>
          </c:yVal>
          <c:smooth val="1"/>
        </c:ser>
        <c:ser>
          <c:idx val="8"/>
          <c:order val="2"/>
          <c:tx>
            <c:strRef>
              <c:f>'Sensitivity Test Part 2'!$L$36</c:f>
              <c:strCache>
                <c:ptCount val="1"/>
                <c:pt idx="0">
                  <c:v>Pyrolysis/MAP CF</c:v>
                </c:pt>
              </c:strCache>
            </c:strRef>
          </c:tx>
          <c:spPr>
            <a:ln w="19050" cap="rnd">
              <a:solidFill>
                <a:schemeClr val="accent2"/>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2'!$M$36:$AG$36</c:f>
              <c:numCache>
                <c:formatCode>0%</c:formatCode>
                <c:ptCount val="21"/>
                <c:pt idx="0">
                  <c:v>0.15825193534944249</c:v>
                </c:pt>
                <c:pt idx="1">
                  <c:v>0.13375598637376473</c:v>
                </c:pt>
                <c:pt idx="2">
                  <c:v>0.10926003739808721</c:v>
                </c:pt>
                <c:pt idx="3">
                  <c:v>8.4764088422409456E-2</c:v>
                </c:pt>
                <c:pt idx="4">
                  <c:v>6.0268139446731706E-2</c:v>
                </c:pt>
                <c:pt idx="5">
                  <c:v>3.5772190471053955E-2</c:v>
                </c:pt>
                <c:pt idx="6">
                  <c:v>1.1276241495376205E-2</c:v>
                </c:pt>
                <c:pt idx="7">
                  <c:v>-1.3219707480301435E-2</c:v>
                </c:pt>
                <c:pt idx="8">
                  <c:v>-3.7715656455979185E-2</c:v>
                </c:pt>
                <c:pt idx="9">
                  <c:v>-6.2211605431656825E-2</c:v>
                </c:pt>
                <c:pt idx="10">
                  <c:v>-8.6707554407334575E-2</c:v>
                </c:pt>
                <c:pt idx="11">
                  <c:v>-0.11120350338301233</c:v>
                </c:pt>
                <c:pt idx="12">
                  <c:v>-0.13569945235868985</c:v>
                </c:pt>
                <c:pt idx="13">
                  <c:v>-0.1601954013343676</c:v>
                </c:pt>
                <c:pt idx="14">
                  <c:v>-0.18469135031004535</c:v>
                </c:pt>
                <c:pt idx="15">
                  <c:v>-0.20918729928572299</c:v>
                </c:pt>
                <c:pt idx="16">
                  <c:v>-0.23368324826140086</c:v>
                </c:pt>
                <c:pt idx="17">
                  <c:v>-0.25817919723707849</c:v>
                </c:pt>
                <c:pt idx="18">
                  <c:v>-0.28267514621275602</c:v>
                </c:pt>
                <c:pt idx="19">
                  <c:v>-0.30717109518843377</c:v>
                </c:pt>
                <c:pt idx="20">
                  <c:v>-0.33166704416411152</c:v>
                </c:pt>
              </c:numCache>
            </c:numRef>
          </c:yVal>
          <c:smooth val="1"/>
        </c:ser>
        <c:ser>
          <c:idx val="11"/>
          <c:order val="3"/>
          <c:tx>
            <c:strRef>
              <c:f>'Sensitivity Test Part 2'!$L$39</c:f>
              <c:strCache>
                <c:ptCount val="1"/>
                <c:pt idx="0">
                  <c:v>Fluidised bed CF</c:v>
                </c:pt>
              </c:strCache>
            </c:strRef>
          </c:tx>
          <c:spPr>
            <a:ln w="19050" cap="rnd">
              <a:solidFill>
                <a:schemeClr val="accent4">
                  <a:lumMod val="50000"/>
                </a:schemeClr>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2'!$M$39:$AG$39</c:f>
              <c:numCache>
                <c:formatCode>0%</c:formatCode>
                <c:ptCount val="21"/>
                <c:pt idx="0">
                  <c:v>8.1586013409417735E-2</c:v>
                </c:pt>
                <c:pt idx="1">
                  <c:v>6.1397044473419538E-2</c:v>
                </c:pt>
                <c:pt idx="2">
                  <c:v>4.1208075537421562E-2</c:v>
                </c:pt>
                <c:pt idx="3">
                  <c:v>2.1019106601423365E-2</c:v>
                </c:pt>
                <c:pt idx="4">
                  <c:v>8.3013766542539003E-4</c:v>
                </c:pt>
                <c:pt idx="5">
                  <c:v>-1.9358831270572696E-2</c:v>
                </c:pt>
                <c:pt idx="6">
                  <c:v>-3.9547800206570782E-2</c:v>
                </c:pt>
                <c:pt idx="7">
                  <c:v>-5.973676914256898E-2</c:v>
                </c:pt>
                <c:pt idx="8">
                  <c:v>-7.9925738078567177E-2</c:v>
                </c:pt>
                <c:pt idx="9">
                  <c:v>-0.10011470701456515</c:v>
                </c:pt>
                <c:pt idx="10">
                  <c:v>-0.12030367595056324</c:v>
                </c:pt>
                <c:pt idx="11">
                  <c:v>-0.14049264488656144</c:v>
                </c:pt>
                <c:pt idx="12">
                  <c:v>-0.16068161382255941</c:v>
                </c:pt>
                <c:pt idx="13">
                  <c:v>-0.18087058275855761</c:v>
                </c:pt>
                <c:pt idx="14">
                  <c:v>-0.2010595516945558</c:v>
                </c:pt>
                <c:pt idx="15">
                  <c:v>-0.22124852063055389</c:v>
                </c:pt>
                <c:pt idx="16">
                  <c:v>-0.24143748956655209</c:v>
                </c:pt>
                <c:pt idx="17">
                  <c:v>-0.26162645850255006</c:v>
                </c:pt>
                <c:pt idx="18">
                  <c:v>-0.28181542743854804</c:v>
                </c:pt>
                <c:pt idx="19">
                  <c:v>-0.30200439637454624</c:v>
                </c:pt>
                <c:pt idx="20">
                  <c:v>-0.32219336531054432</c:v>
                </c:pt>
              </c:numCache>
            </c:numRef>
          </c:yVal>
          <c:smooth val="1"/>
        </c:ser>
        <c:ser>
          <c:idx val="14"/>
          <c:order val="4"/>
          <c:tx>
            <c:strRef>
              <c:f>'Sensitivity Test Part 2'!$L$42</c:f>
              <c:strCache>
                <c:ptCount val="1"/>
                <c:pt idx="0">
                  <c:v>Chemical CF</c:v>
                </c:pt>
              </c:strCache>
            </c:strRef>
          </c:tx>
          <c:spPr>
            <a:ln w="19050" cap="rnd">
              <a:solidFill>
                <a:schemeClr val="accent1"/>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2'!$M$42:$AG$42</c:f>
              <c:numCache>
                <c:formatCode>0%</c:formatCode>
                <c:ptCount val="21"/>
                <c:pt idx="0">
                  <c:v>7.0358959049728664E-2</c:v>
                </c:pt>
                <c:pt idx="1">
                  <c:v>1.9014138347275278E-2</c:v>
                </c:pt>
                <c:pt idx="2">
                  <c:v>-3.2330682355178109E-2</c:v>
                </c:pt>
                <c:pt idx="3">
                  <c:v>-8.3675503057631717E-2</c:v>
                </c:pt>
                <c:pt idx="4">
                  <c:v>-0.1350203237600851</c:v>
                </c:pt>
                <c:pt idx="5">
                  <c:v>-0.1863651444625386</c:v>
                </c:pt>
                <c:pt idx="6">
                  <c:v>-0.23770996516499199</c:v>
                </c:pt>
                <c:pt idx="7">
                  <c:v>-0.28905478586744549</c:v>
                </c:pt>
                <c:pt idx="8">
                  <c:v>-0.34039960656989898</c:v>
                </c:pt>
                <c:pt idx="9">
                  <c:v>-0.39174442727235237</c:v>
                </c:pt>
                <c:pt idx="10">
                  <c:v>-0.44308924797480587</c:v>
                </c:pt>
                <c:pt idx="11">
                  <c:v>-0.49443406867725936</c:v>
                </c:pt>
                <c:pt idx="12">
                  <c:v>-0.54577888937971275</c:v>
                </c:pt>
                <c:pt idx="13">
                  <c:v>-0.59712371008216625</c:v>
                </c:pt>
                <c:pt idx="14">
                  <c:v>-0.64846853078461963</c:v>
                </c:pt>
                <c:pt idx="15">
                  <c:v>-0.69981335148707313</c:v>
                </c:pt>
                <c:pt idx="16">
                  <c:v>-0.75115817218952663</c:v>
                </c:pt>
                <c:pt idx="17">
                  <c:v>-0.80250299289198002</c:v>
                </c:pt>
                <c:pt idx="18">
                  <c:v>-0.8538478135944334</c:v>
                </c:pt>
                <c:pt idx="19">
                  <c:v>-0.9051926342968869</c:v>
                </c:pt>
                <c:pt idx="20">
                  <c:v>-0.9565374549993404</c:v>
                </c:pt>
              </c:numCache>
            </c:numRef>
          </c:yVal>
          <c:smooth val="1"/>
        </c:ser>
        <c:ser>
          <c:idx val="17"/>
          <c:order val="5"/>
          <c:tx>
            <c:strRef>
              <c:f>'Sensitivity Test Part 2'!$L$45</c:f>
              <c:strCache>
                <c:ptCount val="1"/>
                <c:pt idx="0">
                  <c:v>HVF CF</c:v>
                </c:pt>
              </c:strCache>
            </c:strRef>
          </c:tx>
          <c:spPr>
            <a:ln w="19050" cap="rnd">
              <a:solidFill>
                <a:schemeClr val="accent6">
                  <a:lumMod val="80000"/>
                  <a:lumOff val="20000"/>
                </a:schemeClr>
              </a:solidFill>
              <a:round/>
            </a:ln>
            <a:effectLst/>
          </c:spPr>
          <c:marker>
            <c:symbol val="none"/>
          </c:marker>
          <c:xVal>
            <c:numRef>
              <c:f>'Sensitivity Test Part 2'!$M$27:$AG$27</c:f>
              <c:numCache>
                <c:formatCode>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'Sensitivity Test Part 2'!$M$45:$AG$45</c:f>
              <c:numCache>
                <c:formatCode>0%</c:formatCode>
                <c:ptCount val="21"/>
                <c:pt idx="0">
                  <c:v>5.9214456560331419E-2</c:v>
                </c:pt>
                <c:pt idx="1">
                  <c:v>2.5700768126574625E-2</c:v>
                </c:pt>
                <c:pt idx="2">
                  <c:v>-7.8129203071822806E-3</c:v>
                </c:pt>
                <c:pt idx="3">
                  <c:v>-4.1326608740939297E-2</c:v>
                </c:pt>
                <c:pt idx="4">
                  <c:v>-7.4840297174696091E-2</c:v>
                </c:pt>
                <c:pt idx="5">
                  <c:v>-0.10835398560845289</c:v>
                </c:pt>
                <c:pt idx="6">
                  <c:v>-0.14186767404220979</c:v>
                </c:pt>
                <c:pt idx="7">
                  <c:v>-0.1753813624759667</c:v>
                </c:pt>
                <c:pt idx="8">
                  <c:v>-0.20889505090972349</c:v>
                </c:pt>
                <c:pt idx="9">
                  <c:v>-0.24240873934348039</c:v>
                </c:pt>
                <c:pt idx="10">
                  <c:v>-0.2759224277772373</c:v>
                </c:pt>
                <c:pt idx="11">
                  <c:v>-0.30943611621099409</c:v>
                </c:pt>
                <c:pt idx="12">
                  <c:v>-0.342949804644751</c:v>
                </c:pt>
                <c:pt idx="13">
                  <c:v>-0.37646349307850779</c:v>
                </c:pt>
                <c:pt idx="14">
                  <c:v>-0.4099771815122647</c:v>
                </c:pt>
                <c:pt idx="15">
                  <c:v>-0.44349086994602149</c:v>
                </c:pt>
                <c:pt idx="16">
                  <c:v>-0.4770045583797784</c:v>
                </c:pt>
                <c:pt idx="17">
                  <c:v>-0.51051824681353519</c:v>
                </c:pt>
                <c:pt idx="18">
                  <c:v>-0.54403193524729221</c:v>
                </c:pt>
                <c:pt idx="19">
                  <c:v>-0.57754562368104889</c:v>
                </c:pt>
                <c:pt idx="20">
                  <c:v>-0.6110593121148058</c:v>
                </c:pt>
              </c:numCache>
            </c:numRef>
          </c:yVal>
          <c:smooth val="1"/>
        </c:ser>
        <c:dLbls>
          <c:showLegendKey val="0"/>
          <c:showVal val="0"/>
          <c:showCatName val="0"/>
          <c:showSerName val="0"/>
          <c:showPercent val="0"/>
          <c:showBubbleSize val="0"/>
        </c:dLbls>
        <c:axId val="948242376"/>
        <c:axId val="948242768"/>
      </c:scatterChart>
      <c:scatterChart>
        <c:scatterStyle val="lineMarker"/>
        <c:varyColors val="0"/>
        <c:ser>
          <c:idx val="0"/>
          <c:order val="6"/>
          <c:tx>
            <c:strRef>
              <c:f>'Sensitivity Test Part 2'!$AF$136</c:f>
              <c:strCache>
                <c:ptCount val="1"/>
                <c:pt idx="0">
                  <c:v>Chemical-0.86</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6.8994669222433108E-2"/>
                  <c:y val="6.1499845270432896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2'!$AF$134</c:f>
              <c:numCache>
                <c:formatCode>0%</c:formatCode>
                <c:ptCount val="1"/>
                <c:pt idx="0">
                  <c:v>-0.86</c:v>
                </c:pt>
              </c:numCache>
            </c:numRef>
          </c:xVal>
          <c:yVal>
            <c:numRef>
              <c:f>'Sensitivity Test Part 2'!$AF$135</c:f>
              <c:numCache>
                <c:formatCode>0%</c:formatCode>
                <c:ptCount val="1"/>
                <c:pt idx="0">
                  <c:v>0</c:v>
                </c:pt>
              </c:numCache>
            </c:numRef>
          </c:yVal>
          <c:smooth val="0"/>
        </c:ser>
        <c:ser>
          <c:idx val="1"/>
          <c:order val="7"/>
          <c:tx>
            <c:strRef>
              <c:f>'Sensitivity Test Part 2'!$AF$141</c:f>
              <c:strCache>
                <c:ptCount val="1"/>
                <c:pt idx="0">
                  <c:v>Fluidised Bed-0.6</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8.9125128760235345E-2"/>
                  <c:y val="-8.2621259842519681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2'!$AF$139</c:f>
              <c:numCache>
                <c:formatCode>0%</c:formatCode>
                <c:ptCount val="1"/>
                <c:pt idx="0">
                  <c:v>-0.6</c:v>
                </c:pt>
              </c:numCache>
            </c:numRef>
          </c:xVal>
          <c:yVal>
            <c:numRef>
              <c:f>'Sensitivity Test Part 2'!$AF$140</c:f>
              <c:numCache>
                <c:formatCode>0%</c:formatCode>
                <c:ptCount val="1"/>
                <c:pt idx="0">
                  <c:v>0</c:v>
                </c:pt>
              </c:numCache>
            </c:numRef>
          </c:yVal>
          <c:smooth val="0"/>
        </c:ser>
        <c:ser>
          <c:idx val="3"/>
          <c:order val="8"/>
          <c:tx>
            <c:strRef>
              <c:f>'Sensitivity Test Part 2'!$AF$146</c:f>
              <c:strCache>
                <c:ptCount val="1"/>
                <c:pt idx="0">
                  <c:v>HVF-0.82</c:v>
                </c:pt>
              </c:strCache>
            </c:strRef>
          </c:tx>
          <c:spPr>
            <a:ln w="25400" cap="rnd">
              <a:noFill/>
              <a:round/>
            </a:ln>
            <a:effectLst/>
          </c:spPr>
          <c:marker>
            <c:symbol val="circle"/>
            <c:size val="7"/>
            <c:spPr>
              <a:solidFill>
                <a:srgbClr val="C00000"/>
              </a:solidFill>
              <a:ln w="9525">
                <a:solidFill>
                  <a:srgbClr val="C00000"/>
                </a:solidFill>
              </a:ln>
              <a:effectLst/>
            </c:spPr>
          </c:marker>
          <c:dPt>
            <c:idx val="0"/>
            <c:marker>
              <c:symbol val="circle"/>
              <c:size val="7"/>
              <c:spPr>
                <a:solidFill>
                  <a:srgbClr val="C00000"/>
                </a:solidFill>
                <a:ln w="9525">
                  <a:solidFill>
                    <a:srgbClr val="C00000"/>
                  </a:solidFill>
                </a:ln>
                <a:effectLst/>
              </c:spPr>
            </c:marker>
            <c:bubble3D val="0"/>
          </c:dPt>
          <c:dLbls>
            <c:dLbl>
              <c:idx val="0"/>
              <c:layout>
                <c:manualLayout>
                  <c:x val="-4.551914380990665E-3"/>
                  <c:y val="0.12944356955380579"/>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2'!$AF$144</c:f>
              <c:numCache>
                <c:formatCode>0%</c:formatCode>
                <c:ptCount val="1"/>
                <c:pt idx="0">
                  <c:v>-0.82</c:v>
                </c:pt>
              </c:numCache>
            </c:numRef>
          </c:xVal>
          <c:yVal>
            <c:numRef>
              <c:f>'Sensitivity Test Part 2'!$AF$145</c:f>
              <c:numCache>
                <c:formatCode>0%</c:formatCode>
                <c:ptCount val="1"/>
                <c:pt idx="0">
                  <c:v>0</c:v>
                </c:pt>
              </c:numCache>
            </c:numRef>
          </c:yVal>
          <c:smooth val="0"/>
        </c:ser>
        <c:ser>
          <c:idx val="4"/>
          <c:order val="9"/>
          <c:tx>
            <c:strRef>
              <c:f>'Sensitivity Test Part 2'!$AF$151</c:f>
              <c:strCache>
                <c:ptCount val="1"/>
                <c:pt idx="0">
                  <c:v>Pyrolysis-0.36</c:v>
                </c:pt>
              </c:strCache>
            </c:strRef>
          </c:tx>
          <c:spPr>
            <a:ln w="25400" cap="rnd">
              <a:noFill/>
              <a:round/>
            </a:ln>
            <a:effectLst/>
          </c:spPr>
          <c:marker>
            <c:symbol val="circle"/>
            <c:size val="7"/>
            <c:spPr>
              <a:solidFill>
                <a:srgbClr val="C00000"/>
              </a:solidFill>
              <a:ln w="9525">
                <a:solidFill>
                  <a:srgbClr val="C00000"/>
                </a:solidFill>
              </a:ln>
              <a:effectLst/>
            </c:spPr>
          </c:marker>
          <c:dLbls>
            <c:dLbl>
              <c:idx val="0"/>
              <c:layout>
                <c:manualLayout>
                  <c:x val="-1.7964133555122747E-2"/>
                  <c:y val="-6.2414468970546727E-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'Sensitivity Test Part 2'!$AF$149</c:f>
              <c:numCache>
                <c:formatCode>0%</c:formatCode>
                <c:ptCount val="1"/>
                <c:pt idx="0">
                  <c:v>-0.36</c:v>
                </c:pt>
              </c:numCache>
            </c:numRef>
          </c:xVal>
          <c:yVal>
            <c:numRef>
              <c:f>'Sensitivity Test Part 2'!$AF$150</c:f>
              <c:numCache>
                <c:formatCode>0%</c:formatCode>
                <c:ptCount val="1"/>
                <c:pt idx="0">
                  <c:v>0</c:v>
                </c:pt>
              </c:numCache>
            </c:numRef>
          </c:yVal>
          <c:smooth val="0"/>
        </c:ser>
        <c:dLbls>
          <c:showLegendKey val="0"/>
          <c:showVal val="0"/>
          <c:showCatName val="0"/>
          <c:showSerName val="0"/>
          <c:showPercent val="0"/>
          <c:showBubbleSize val="0"/>
        </c:dLbls>
        <c:axId val="948242376"/>
        <c:axId val="948242768"/>
      </c:scatterChart>
      <c:valAx>
        <c:axId val="948242376"/>
        <c:scaling>
          <c:orientation val="minMax"/>
          <c:max val="1"/>
          <c:min val="-1"/>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Recyclate</a:t>
                </a:r>
                <a:r>
                  <a:rPr lang="zh-CN"/>
                  <a:t> </a:t>
                </a:r>
                <a:r>
                  <a:rPr lang="en-US"/>
                  <a:t>value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8242768"/>
        <c:crosses val="autoZero"/>
        <c:crossBetween val="midCat"/>
      </c:valAx>
      <c:valAx>
        <c:axId val="9482427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Environmental impact Variation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low"/>
        <c:spPr>
          <a:noFill/>
          <a:ln w="9525" cap="flat" cmpd="sng" algn="ctr">
            <a:solidFill>
              <a:schemeClr val="bg2"/>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8242376"/>
        <c:crosses val="autoZero"/>
        <c:crossBetween val="midCat"/>
      </c:valAx>
      <c:spPr>
        <a:noFill/>
        <a:ln>
          <a:solidFill>
            <a:schemeClr val="tx1"/>
          </a:solidFill>
        </a:ln>
        <a:effectLst/>
      </c:spPr>
    </c:plotArea>
    <c:legend>
      <c:legendPos val="b"/>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32F0210-6007-4C91-8702-A2498F15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31931</Words>
  <Characters>182007</Characters>
  <Application>Microsoft Office Word</Application>
  <DocSecurity>0</DocSecurity>
  <Lines>1516</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dc:creator>
  <cp:keywords/>
  <dc:description/>
  <cp:lastModifiedBy>Meng Fanran</cp:lastModifiedBy>
  <cp:revision>3</cp:revision>
  <cp:lastPrinted>2018-10-16T16:07:00Z</cp:lastPrinted>
  <dcterms:created xsi:type="dcterms:W3CDTF">2018-12-19T11:29:00Z</dcterms:created>
  <dcterms:modified xsi:type="dcterms:W3CDTF">2018-12-19T11:30:00Z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24ee2f5a-af8a-368e-b4b9-a9114bfb643c</vt:lpwstr>
  </property>
  <property fmtid="{D5CDD505-2E9C-101B-9397-08002B2CF9AE}" pid="4" name="Mendeley Citation Style_1">
    <vt:lpwstr>http://www.zotero.org/styles/journal-of-cleaner-production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http://www.zotero.org/styles/environmental-science-and-technology</vt:lpwstr>
  </property>
  <property fmtid="{D5CDD505-2E9C-101B-9397-08002B2CF9AE}" pid="14" name="Mendeley Recent Style Name 4_1">
    <vt:lpwstr>Environmental Science &amp; Technology</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http://www.zotero.org/styles/journal-of-cleaner-production</vt:lpwstr>
  </property>
  <property fmtid="{D5CDD505-2E9C-101B-9397-08002B2CF9AE}" pid="20" name="Mendeley Recent Style Name 7_1">
    <vt:lpwstr>Journal of Cleaner Production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