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25" w:rsidRDefault="00402025" w:rsidP="0040202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FCE39BE" wp14:editId="358A2131">
            <wp:extent cx="4086046" cy="1495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70" cy="1501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025" w:rsidRDefault="00402025" w:rsidP="00402025">
      <w:p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1.</w:t>
      </w:r>
      <w:r>
        <w:rPr>
          <w:rFonts w:ascii="Times New Roman" w:hAnsi="Times New Roman" w:cs="Times New Roman"/>
          <w:sz w:val="24"/>
          <w:szCs w:val="24"/>
        </w:rPr>
        <w:t xml:space="preserve"> Mean temporal SNR (</w:t>
      </w:r>
      <w:proofErr w:type="spellStart"/>
      <w:r>
        <w:rPr>
          <w:rFonts w:ascii="Times New Roman" w:hAnsi="Times New Roman" w:cs="Times New Roman"/>
          <w:sz w:val="24"/>
          <w:szCs w:val="24"/>
        </w:rPr>
        <w:t>tSNR</w:t>
      </w:r>
      <w:proofErr w:type="spellEnd"/>
      <w:r>
        <w:rPr>
          <w:rFonts w:ascii="Times New Roman" w:hAnsi="Times New Roman" w:cs="Times New Roman"/>
          <w:sz w:val="24"/>
          <w:szCs w:val="24"/>
        </w:rPr>
        <w:t>) (±standard deviation</w:t>
      </w:r>
      <w:r w:rsidRPr="00BA1CA9">
        <w:rPr>
          <w:rFonts w:ascii="Times New Roman" w:hAnsi="Times New Roman" w:cs="Times New Roman"/>
          <w:sz w:val="24"/>
          <w:szCs w:val="24"/>
        </w:rPr>
        <w:t>) calculated over grey matter across 3 participants during five MR sequences: MB: 1-3; acquisition type = equidistant or sparse. All other parameters were constant: TR/TE=3060/40ms, SENSE=2, slices=36, FA=79°, Volumes=41.</w:t>
      </w:r>
    </w:p>
    <w:p w:rsidR="00402025" w:rsidRDefault="00402025" w:rsidP="0040202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6170D6" w:rsidRDefault="00402025"/>
    <w:sectPr w:rsidR="00617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25"/>
    <w:rsid w:val="001F24FE"/>
    <w:rsid w:val="00402025"/>
    <w:rsid w:val="00A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8B292-F0D3-4B67-B922-C38AEC80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025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Mullinger Karen</dc:creator>
  <cp:keywords/>
  <dc:description/>
  <cp:lastModifiedBy>Mullinger Karen</cp:lastModifiedBy>
  <cp:revision>1</cp:revision>
  <dcterms:created xsi:type="dcterms:W3CDTF">2017-10-02T12:24:00Z</dcterms:created>
  <dcterms:modified xsi:type="dcterms:W3CDTF">2017-10-02T12:25:00Z</dcterms:modified>
</cp:coreProperties>
</file>