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26F" w:rsidRPr="008D4DFC" w:rsidRDefault="00D9026F" w:rsidP="00BD03CC">
      <w:pPr>
        <w:pStyle w:val="Title"/>
        <w:jc w:val="both"/>
        <w:rPr>
          <w:kern w:val="32"/>
          <w:lang w:val="en-US"/>
        </w:rPr>
      </w:pPr>
      <w:bookmarkStart w:id="0" w:name="_Toc194716499"/>
      <w:bookmarkStart w:id="1" w:name="_GoBack"/>
      <w:bookmarkEnd w:id="1"/>
      <w:r w:rsidRPr="008D4DFC">
        <w:rPr>
          <w:kern w:val="32"/>
          <w:lang w:val="en-US"/>
        </w:rPr>
        <w:t>Sectoral and Regional Expansion of Emissions Trading</w:t>
      </w:r>
    </w:p>
    <w:p w:rsidR="00D9026F" w:rsidRPr="008D4DFC" w:rsidRDefault="00D9026F" w:rsidP="00BD03CC">
      <w:pPr>
        <w:pStyle w:val="Subtitle"/>
        <w:jc w:val="both"/>
        <w:rPr>
          <w:kern w:val="32"/>
          <w:vertAlign w:val="superscript"/>
          <w:lang w:val="en-US"/>
        </w:rPr>
      </w:pPr>
      <w:r w:rsidRPr="008D4DFC">
        <w:rPr>
          <w:kern w:val="32"/>
          <w:lang w:val="en-US"/>
        </w:rPr>
        <w:t>Christoph Böhringer</w:t>
      </w:r>
      <w:r w:rsidRPr="008D4DFC">
        <w:rPr>
          <w:kern w:val="32"/>
          <w:vertAlign w:val="superscript"/>
          <w:lang w:val="en-US"/>
        </w:rPr>
        <w:t>a</w:t>
      </w:r>
      <w:r w:rsidRPr="008D4DFC">
        <w:rPr>
          <w:kern w:val="32"/>
          <w:lang w:val="en-US"/>
        </w:rPr>
        <w:t xml:space="preserve">, </w:t>
      </w:r>
      <w:smartTag w:uri="urn:schemas-microsoft-com:office:smarttags" w:element="PersonName">
        <w:r w:rsidRPr="008D4DFC">
          <w:rPr>
            <w:kern w:val="32"/>
            <w:lang w:val="en-US"/>
          </w:rPr>
          <w:t>Bouwe Dijkstra</w:t>
        </w:r>
      </w:smartTag>
      <w:r w:rsidRPr="008D4DFC">
        <w:rPr>
          <w:kern w:val="32"/>
          <w:vertAlign w:val="superscript"/>
          <w:lang w:val="en-US"/>
        </w:rPr>
        <w:t>b</w:t>
      </w:r>
      <w:r w:rsidRPr="008D4DFC">
        <w:rPr>
          <w:kern w:val="32"/>
          <w:lang w:val="en-US"/>
        </w:rPr>
        <w:t xml:space="preserve"> and Knut Einar Rosendahl</w:t>
      </w:r>
      <w:r w:rsidRPr="008D4DFC">
        <w:rPr>
          <w:kern w:val="32"/>
          <w:vertAlign w:val="superscript"/>
          <w:lang w:val="en-US"/>
        </w:rPr>
        <w:t>c</w:t>
      </w:r>
    </w:p>
    <w:bookmarkEnd w:id="0"/>
    <w:p w:rsidR="00D9026F" w:rsidRPr="008D4DFC" w:rsidRDefault="00D9026F" w:rsidP="00BD03CC">
      <w:pPr>
        <w:jc w:val="both"/>
        <w:rPr>
          <w:lang w:val="en-US"/>
        </w:rPr>
      </w:pPr>
    </w:p>
    <w:p w:rsidR="00D9026F" w:rsidRPr="008D4DFC" w:rsidRDefault="00D9026F" w:rsidP="00BD03CC">
      <w:pPr>
        <w:jc w:val="both"/>
        <w:rPr>
          <w:lang w:val="en-US"/>
        </w:rPr>
      </w:pPr>
      <w:r w:rsidRPr="008D4DFC">
        <w:rPr>
          <w:b/>
          <w:lang w:val="en-US"/>
        </w:rPr>
        <w:t xml:space="preserve">Abstract: </w:t>
      </w:r>
      <w:r w:rsidRPr="008D4DFC">
        <w:rPr>
          <w:lang w:val="en-US"/>
        </w:rPr>
        <w:t>We consider an international emissions trading scheme with partial sectoral and regional coverage. Sectoral and regional expansion of the trading scheme is beneficial in aggregate, but not necessarily for individual countries. We simulate international CO</w:t>
      </w:r>
      <w:r w:rsidRPr="008D4DFC">
        <w:rPr>
          <w:vertAlign w:val="subscript"/>
          <w:lang w:val="en-US"/>
        </w:rPr>
        <w:t>2</w:t>
      </w:r>
      <w:r w:rsidRPr="008D4DFC">
        <w:rPr>
          <w:lang w:val="en-US"/>
        </w:rPr>
        <w:t xml:space="preserve"> emission quota markets using marginal abatement cost functions and the Copenhagen 2020 climate policy targets for selected countries that strategically allocate emissions in a bid to manipulate the quota price. Quota exporters and importers generally have conflicting interests about admitting more countries to the trading coalition, and our results indicate that some countries may lose substantially when the coalition expands in terms of new countries. For a given coalition, expanding sectoral coverage makes most countries better off, but some countries (notably the </w:t>
      </w:r>
      <w:smartTag w:uri="urn:schemas-microsoft-com:office:smarttags" w:element="country-region">
        <w:r w:rsidRPr="008D4DFC">
          <w:rPr>
            <w:lang w:val="en-US"/>
          </w:rPr>
          <w:t>USA</w:t>
        </w:r>
      </w:smartTag>
      <w:r w:rsidRPr="008D4DFC">
        <w:rPr>
          <w:lang w:val="en-US"/>
        </w:rPr>
        <w:t xml:space="preserve"> and </w:t>
      </w:r>
      <w:smartTag w:uri="urn:schemas-microsoft-com:office:smarttags" w:element="country-region">
        <w:smartTag w:uri="urn:schemas-microsoft-com:office:smarttags" w:element="place">
          <w:r w:rsidRPr="008D4DFC">
            <w:rPr>
              <w:lang w:val="en-US"/>
            </w:rPr>
            <w:t>Russia</w:t>
          </w:r>
        </w:smartTag>
      </w:smartTag>
      <w:r w:rsidRPr="008D4DFC">
        <w:rPr>
          <w:lang w:val="en-US"/>
        </w:rPr>
        <w:t xml:space="preserve">) may lose out due to loss of strategic advantages. In general, exporters tend to have stronger strategic power than importers. </w:t>
      </w:r>
    </w:p>
    <w:p w:rsidR="00D9026F" w:rsidRPr="008D4DFC" w:rsidRDefault="00D9026F" w:rsidP="00BD03CC">
      <w:pPr>
        <w:jc w:val="both"/>
        <w:rPr>
          <w:b/>
          <w:lang w:val="en-US"/>
        </w:rPr>
      </w:pPr>
    </w:p>
    <w:p w:rsidR="00D9026F" w:rsidRPr="008D4DFC" w:rsidRDefault="00D9026F" w:rsidP="00BD03CC">
      <w:pPr>
        <w:jc w:val="both"/>
        <w:rPr>
          <w:lang w:val="en-US"/>
        </w:rPr>
      </w:pPr>
      <w:r w:rsidRPr="008D4DFC">
        <w:rPr>
          <w:b/>
          <w:lang w:val="en-US"/>
        </w:rPr>
        <w:t>Keywords:</w:t>
      </w:r>
      <w:r w:rsidRPr="008D4DFC">
        <w:rPr>
          <w:lang w:val="en-US"/>
        </w:rPr>
        <w:t xml:space="preserve"> Emissions Trading; Allocation of Quotas; Strategic Behavior</w:t>
      </w:r>
    </w:p>
    <w:p w:rsidR="00D9026F" w:rsidRPr="008D4DFC" w:rsidRDefault="00D9026F" w:rsidP="00BD03CC">
      <w:pPr>
        <w:jc w:val="both"/>
        <w:rPr>
          <w:lang w:val="en-US"/>
        </w:rPr>
      </w:pPr>
      <w:r w:rsidRPr="008D4DFC">
        <w:rPr>
          <w:b/>
          <w:lang w:val="en-US"/>
        </w:rPr>
        <w:t>JEL:</w:t>
      </w:r>
      <w:r w:rsidRPr="008D4DFC">
        <w:rPr>
          <w:lang w:val="en-US"/>
        </w:rPr>
        <w:t xml:space="preserve"> C61; C72; Q25</w:t>
      </w:r>
    </w:p>
    <w:p w:rsidR="00D9026F" w:rsidRPr="008D4DFC" w:rsidRDefault="00D9026F" w:rsidP="00BD03CC">
      <w:pPr>
        <w:jc w:val="both"/>
        <w:rPr>
          <w:lang w:val="en-US"/>
        </w:rPr>
      </w:pPr>
      <w:r w:rsidRPr="008D4DFC">
        <w:rPr>
          <w:b/>
          <w:lang w:val="en-US"/>
        </w:rPr>
        <w:t xml:space="preserve">Acknowledgement: </w:t>
      </w:r>
      <w:r w:rsidRPr="008D4DFC">
        <w:rPr>
          <w:lang w:val="en-US"/>
        </w:rPr>
        <w:t>We are grateful to Odd Godal, Carsten Helm</w:t>
      </w:r>
      <w:r>
        <w:rPr>
          <w:lang w:val="en-US"/>
        </w:rPr>
        <w:t xml:space="preserve">, </w:t>
      </w:r>
      <w:r w:rsidRPr="009065FD">
        <w:rPr>
          <w:lang w:val="en-US"/>
        </w:rPr>
        <w:t>Erling Holmøy</w:t>
      </w:r>
      <w:r>
        <w:rPr>
          <w:lang w:val="en-US"/>
        </w:rPr>
        <w:t xml:space="preserve">, an anonymous referee, and the Editor </w:t>
      </w:r>
      <w:r w:rsidRPr="008D4DFC">
        <w:rPr>
          <w:lang w:val="en-US"/>
        </w:rPr>
        <w:t>for valuable comments on an earlier draft. Financial support from the Renergi programme of the Research Council of Norway and the German Research Foundation (BO 1713/5-1) is appreciated.</w:t>
      </w:r>
    </w:p>
    <w:p w:rsidR="00D9026F" w:rsidRPr="008D4DFC" w:rsidRDefault="00D9026F" w:rsidP="00BD03CC">
      <w:pPr>
        <w:jc w:val="both"/>
        <w:rPr>
          <w:lang w:val="en-US"/>
        </w:rPr>
      </w:pPr>
    </w:p>
    <w:p w:rsidR="00D9026F" w:rsidRPr="008D4DFC" w:rsidRDefault="00D9026F" w:rsidP="00BD03CC">
      <w:pPr>
        <w:jc w:val="both"/>
        <w:rPr>
          <w:lang w:val="en-US"/>
        </w:rPr>
      </w:pPr>
    </w:p>
    <w:p w:rsidR="00D9026F" w:rsidRPr="008D4DFC" w:rsidRDefault="00D9026F" w:rsidP="00BD03CC">
      <w:pPr>
        <w:jc w:val="both"/>
        <w:rPr>
          <w:lang w:val="en-US"/>
        </w:rPr>
      </w:pPr>
    </w:p>
    <w:p w:rsidR="00D9026F" w:rsidRPr="00313F93" w:rsidRDefault="00D9026F" w:rsidP="00BD03CC">
      <w:pPr>
        <w:jc w:val="both"/>
        <w:rPr>
          <w:lang w:val="it-IT"/>
        </w:rPr>
      </w:pPr>
      <w:r w:rsidRPr="008D4DFC">
        <w:rPr>
          <w:vertAlign w:val="superscript"/>
          <w:lang w:val="en-US"/>
        </w:rPr>
        <w:t>a</w:t>
      </w:r>
      <w:r w:rsidRPr="008D4DFC">
        <w:rPr>
          <w:lang w:val="en-US"/>
        </w:rPr>
        <w:t xml:space="preserve"> </w:t>
      </w:r>
      <w:smartTag w:uri="urn:schemas-microsoft-com:office:smarttags" w:element="PlaceType">
        <w:smartTag w:uri="urn:schemas-microsoft-com:office:smarttags" w:element="place">
          <w:r w:rsidRPr="008D4DFC">
            <w:rPr>
              <w:lang w:val="en-US"/>
            </w:rPr>
            <w:t>University</w:t>
          </w:r>
        </w:smartTag>
        <w:r w:rsidRPr="008D4DFC">
          <w:rPr>
            <w:lang w:val="en-US"/>
          </w:rPr>
          <w:t xml:space="preserve"> of </w:t>
        </w:r>
        <w:smartTag w:uri="urn:schemas-microsoft-com:office:smarttags" w:element="PlaceName">
          <w:r w:rsidRPr="008D4DFC">
            <w:rPr>
              <w:lang w:val="en-US"/>
            </w:rPr>
            <w:t>Oldenburg</w:t>
          </w:r>
        </w:smartTag>
      </w:smartTag>
      <w:r w:rsidRPr="008D4DFC">
        <w:rPr>
          <w:lang w:val="en-US"/>
        </w:rPr>
        <w:t xml:space="preserve">. </w:t>
      </w:r>
      <w:r w:rsidRPr="00985AA8">
        <w:rPr>
          <w:lang w:val="it-IT"/>
        </w:rPr>
        <w:t>E-mail: boehringer@uni-oldenburg.de</w:t>
      </w:r>
    </w:p>
    <w:p w:rsidR="00D9026F" w:rsidRPr="008D4DFC" w:rsidRDefault="00D9026F" w:rsidP="00BD03CC">
      <w:pPr>
        <w:jc w:val="both"/>
        <w:rPr>
          <w:lang w:val="en-US"/>
        </w:rPr>
      </w:pPr>
      <w:r w:rsidRPr="008D4DFC">
        <w:rPr>
          <w:vertAlign w:val="superscript"/>
          <w:lang w:val="en-US"/>
        </w:rPr>
        <w:t>b</w:t>
      </w:r>
      <w:r w:rsidRPr="008D4DFC">
        <w:rPr>
          <w:lang w:val="en-US"/>
        </w:rPr>
        <w:t xml:space="preserve"> </w:t>
      </w:r>
      <w:smartTag w:uri="urn:schemas-microsoft-com:office:smarttags" w:element="PlaceType">
        <w:smartTag w:uri="urn:schemas-microsoft-com:office:smarttags" w:element="place">
          <w:r w:rsidRPr="008D4DFC">
            <w:rPr>
              <w:lang w:val="en-US"/>
            </w:rPr>
            <w:t>University</w:t>
          </w:r>
        </w:smartTag>
        <w:r w:rsidRPr="008D4DFC">
          <w:rPr>
            <w:lang w:val="en-US"/>
          </w:rPr>
          <w:t xml:space="preserve"> of </w:t>
        </w:r>
        <w:smartTag w:uri="urn:schemas-microsoft-com:office:smarttags" w:element="PlaceName">
          <w:r w:rsidRPr="008D4DFC">
            <w:rPr>
              <w:lang w:val="en-US"/>
            </w:rPr>
            <w:t>Nottingham</w:t>
          </w:r>
        </w:smartTag>
      </w:smartTag>
      <w:r w:rsidRPr="008D4DFC">
        <w:rPr>
          <w:lang w:val="en-US"/>
        </w:rPr>
        <w:t>. E-mail: bouwe.dijkstra@nottingham.ac.uk</w:t>
      </w:r>
    </w:p>
    <w:p w:rsidR="00D9026F" w:rsidRPr="003641D7" w:rsidRDefault="00D9026F">
      <w:pPr>
        <w:rPr>
          <w:lang w:val="de-CH"/>
        </w:rPr>
      </w:pPr>
      <w:r w:rsidRPr="008D4DFC">
        <w:rPr>
          <w:vertAlign w:val="superscript"/>
          <w:lang w:val="en-US"/>
        </w:rPr>
        <w:t>c</w:t>
      </w:r>
      <w:r w:rsidRPr="008D4DFC">
        <w:rPr>
          <w:lang w:val="en-US"/>
        </w:rPr>
        <w:t xml:space="preserve"> </w:t>
      </w:r>
      <w:r>
        <w:rPr>
          <w:lang w:val="en-US"/>
        </w:rPr>
        <w:t xml:space="preserve">Norwegian </w:t>
      </w:r>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Life Sciences</w:t>
        </w:r>
      </w:smartTag>
      <w:r>
        <w:rPr>
          <w:lang w:val="en-US"/>
        </w:rPr>
        <w:t xml:space="preserve"> and </w:t>
      </w:r>
      <w:r w:rsidRPr="008D4DFC">
        <w:rPr>
          <w:lang w:val="en-US"/>
        </w:rPr>
        <w:t xml:space="preserve">Statistics </w:t>
      </w:r>
      <w:smartTag w:uri="urn:schemas-microsoft-com:office:smarttags" w:element="country-region">
        <w:smartTag w:uri="urn:schemas-microsoft-com:office:smarttags" w:element="place">
          <w:r w:rsidRPr="008D4DFC">
            <w:rPr>
              <w:lang w:val="en-US"/>
            </w:rPr>
            <w:t>Norway</w:t>
          </w:r>
        </w:smartTag>
      </w:smartTag>
      <w:r w:rsidRPr="008D4DFC">
        <w:rPr>
          <w:lang w:val="en-US"/>
        </w:rPr>
        <w:t xml:space="preserve">. </w:t>
      </w:r>
      <w:r w:rsidRPr="003641D7">
        <w:rPr>
          <w:lang w:val="de-CH"/>
        </w:rPr>
        <w:t>E-mail: knut.einar.rosendahl@umb.no</w:t>
      </w:r>
    </w:p>
    <w:p w:rsidR="00D9026F" w:rsidRPr="008D4DFC" w:rsidRDefault="00D9026F" w:rsidP="00BD03CC">
      <w:pPr>
        <w:pStyle w:val="Heading1"/>
        <w:jc w:val="both"/>
        <w:rPr>
          <w:lang w:val="en-US"/>
        </w:rPr>
      </w:pPr>
      <w:r w:rsidRPr="000A662A">
        <w:rPr>
          <w:lang w:val="en-US"/>
        </w:rPr>
        <w:br w:type="page"/>
      </w:r>
      <w:r w:rsidRPr="008D4DFC">
        <w:rPr>
          <w:lang w:val="en-US"/>
        </w:rPr>
        <w:lastRenderedPageBreak/>
        <w:t>1. Introduction</w:t>
      </w:r>
    </w:p>
    <w:p w:rsidR="00D9026F" w:rsidRPr="008D4DFC" w:rsidRDefault="00D9026F" w:rsidP="00BD03CC">
      <w:pPr>
        <w:jc w:val="both"/>
        <w:rPr>
          <w:lang w:val="en-US"/>
        </w:rPr>
      </w:pPr>
      <w:r w:rsidRPr="008D4DFC">
        <w:rPr>
          <w:lang w:val="en-US"/>
        </w:rPr>
        <w:t>International emissions trading is considered a key instrument to combat global warming because it promotes cost-effectiveness of emission abatement and thereby increases political feasibility of stringent emission reduction objectives.</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Since 2005 the EU has been a forerunner in the implementation and operation of a multi-jurisdictional emissions trading scheme. While the EU emissions trading scheme (EU ETS) has been critically observed as a “New Grand Experiment” (Kruger and Pizer, 2004) in the early stage, it is meanwhile perceived as a success story which could be the nucleus for a gradually expanding system towards global coverage (Convery, 2009). As a matter of fact, the EU strongly pushes policy initiatives to link the EU ETS with other regional greenhouse gas cap-and-trade systems outside the EU (EU, 2007).</w:t>
      </w:r>
      <w:r w:rsidRPr="008D4DFC">
        <w:rPr>
          <w:rStyle w:val="FootnoteReference"/>
          <w:lang w:val="en-US"/>
        </w:rPr>
        <w:footnoteReference w:id="1"/>
      </w:r>
      <w:r w:rsidRPr="008D4DFC">
        <w:rPr>
          <w:lang w:val="en-US"/>
        </w:rPr>
        <w:t xml:space="preserve"> </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With respect to cost-effectiveness of emission abatement, an important characteristic of the EU ETS is its incomplete coverage. The EU ETS focuses on energy-intensive installations and thereby covers only around </w:t>
      </w:r>
      <w:r>
        <w:rPr>
          <w:lang w:val="en-US"/>
        </w:rPr>
        <w:t>45</w:t>
      </w:r>
      <w:r w:rsidRPr="008D4DFC">
        <w:rPr>
          <w:lang w:val="en-US"/>
        </w:rPr>
        <w:t>% of the EU-wide greenhouse gas emissions. To achieve its reduction target of 20% by 2020 (compared to 1990 emission levels), the EU must undertake complementary regulation of emission sources outside the EU ETS. The segmentation of emission regulation into one EU-wide ETS market and multiple national non-ETS markets ha</w:t>
      </w:r>
      <w:r>
        <w:rPr>
          <w:lang w:val="en-US"/>
        </w:rPr>
        <w:t>s</w:t>
      </w:r>
      <w:r w:rsidRPr="008D4DFC">
        <w:rPr>
          <w:lang w:val="en-US"/>
        </w:rPr>
        <w:t xml:space="preserve"> given rise to concerns on adverse implications for cost-effectiveness of EU emission abatement: While the allocation of emission allowances across sources would not matter for cost-effectiveness in the case of comprehensive trading, it may induce substantial additional costs of emission abatement in the case of unlinked markets should the regulator not be able or willing to choose the cost-effective split of the emission budget between ETS and non-ETS segments (see e.g. Böhringer et al., 2005).</w:t>
      </w:r>
      <w:r w:rsidRPr="008D4DFC">
        <w:rPr>
          <w:rStyle w:val="FootnoteReference"/>
          <w:lang w:val="en-US"/>
        </w:rPr>
        <w:footnoteReference w:id="2"/>
      </w:r>
      <w:r w:rsidRPr="008D4DFC">
        <w:rPr>
          <w:lang w:val="en-US"/>
        </w:rPr>
        <w:t xml:space="preserve"> </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Even in the case of perfect planner information the segmentation of regional emissions into an international ETS market and unconnected non-ETS markets can have adverse efficiency implications as regions obtain incentives to manipulate emission prices through strategic </w:t>
      </w:r>
      <w:r w:rsidRPr="008D4DFC">
        <w:rPr>
          <w:lang w:val="en-US"/>
        </w:rPr>
        <w:lastRenderedPageBreak/>
        <w:t>segmentation (Böhringer and Rosendahl, 2009): Importers of emission allowances have incentives to over-allocate emissions to the international ETS in order to lower the emission price whereas exporters of emission allowances would like to do the opposite.</w:t>
      </w:r>
      <w:r w:rsidRPr="008D4DFC">
        <w:rPr>
          <w:rStyle w:val="FootnoteReference"/>
          <w:lang w:val="en-US"/>
        </w:rPr>
        <w:footnoteReference w:id="3"/>
      </w:r>
      <w:r w:rsidRPr="008D4DFC">
        <w:rPr>
          <w:lang w:val="en-US"/>
        </w:rPr>
        <w:t xml:space="preserve"> Each country would then trade off the benefits from price manipulation with the costs of driving apart the marginal abatement cost between the ETS and their domestic non-ETS emission sources. </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For the first two phases of the EU ETS (2005-2007 and 2008-2012), each Member State had to submit a National Allocation Plan</w:t>
      </w:r>
      <w:r>
        <w:rPr>
          <w:lang w:val="en-US"/>
        </w:rPr>
        <w:t xml:space="preserve"> </w:t>
      </w:r>
      <w:r w:rsidRPr="008D4DFC">
        <w:rPr>
          <w:lang w:val="en-US"/>
        </w:rPr>
        <w:t xml:space="preserve">to the European Commission, detailing how many emissions allowances of the national budget under the Kyoto Protocol are allocated to its ETS sectors and how these allowances are spread across the ETS sectors. For the third phase of the EU ETS (2013-2020), the National Allocation Plans </w:t>
      </w:r>
      <w:r>
        <w:rPr>
          <w:lang w:val="en-US"/>
        </w:rPr>
        <w:t xml:space="preserve">is </w:t>
      </w:r>
      <w:r w:rsidRPr="008D4DFC">
        <w:rPr>
          <w:lang w:val="en-US"/>
        </w:rPr>
        <w:t>replaced by an EU-wide cap for ETS sectors with harmonized allocation rules. The determination of the allowance allocation is then completely out of the hands of the individual Member States avoiding incentives for strategic partitioning</w:t>
      </w:r>
      <w:r>
        <w:rPr>
          <w:lang w:val="en-US"/>
        </w:rPr>
        <w:t>.</w:t>
      </w:r>
      <w:r w:rsidRPr="008D4DFC">
        <w:rPr>
          <w:lang w:val="en-US"/>
        </w:rPr>
        <w:t xml:space="preserve"> However, if other countries outside the EU start joining the trading scheme, the EU as a whole as well as the joining countries might still want to set their allocation strategically.</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The strategic incentives in a hybrid regulation scheme where countries can divide up national emission budgets between international trading sectors and domestically ruled sectors provide the conceptual background for our analysis. Given the wide-spread policy interest in expanding the EU ETS towards a global emissions trading system</w:t>
      </w:r>
      <w:r>
        <w:rPr>
          <w:lang w:val="en-US"/>
        </w:rPr>
        <w:t>,</w:t>
      </w:r>
      <w:r w:rsidRPr="008D4DFC">
        <w:rPr>
          <w:lang w:val="en-US"/>
        </w:rPr>
        <w:t xml:space="preserve"> we investigate the prospects for sectoral and regional expansion when countries decide strategically on how to allocate their emission budget. Can we expect that the EU ETS will be easily expanded to include more regions and sectors, thereby increasing overall cost-effectiveness of emission reductions? If self-interests of regions impede more comprehensive coverage, how severe are the foregone gains in aggregate cost savings? </w:t>
      </w:r>
    </w:p>
    <w:p w:rsidR="00D9026F" w:rsidRPr="008D4DFC" w:rsidRDefault="00D9026F" w:rsidP="00BD03CC">
      <w:pPr>
        <w:jc w:val="both"/>
        <w:rPr>
          <w:lang w:val="en-US"/>
        </w:rPr>
      </w:pPr>
    </w:p>
    <w:p w:rsidR="00D9026F" w:rsidRPr="008D4DFC" w:rsidRDefault="00D9026F" w:rsidP="00AF42F9">
      <w:pPr>
        <w:jc w:val="both"/>
        <w:rPr>
          <w:lang w:val="en-US"/>
        </w:rPr>
      </w:pPr>
      <w:r w:rsidRPr="008D4DFC">
        <w:rPr>
          <w:lang w:val="en-US"/>
        </w:rPr>
        <w:t>For answering these questions we complement basic theoretical analysis with numerical simulations on international CO</w:t>
      </w:r>
      <w:r w:rsidRPr="008D4DFC">
        <w:rPr>
          <w:vertAlign w:val="subscript"/>
          <w:lang w:val="en-US"/>
        </w:rPr>
        <w:t>2</w:t>
      </w:r>
      <w:r w:rsidRPr="008D4DFC">
        <w:rPr>
          <w:lang w:val="en-US"/>
        </w:rPr>
        <w:t xml:space="preserve"> emission quota markets using sector- and region-specific (marginal) abatement cost functions. As to regional coverage, we point out that quota exporters and importers </w:t>
      </w:r>
      <w:r>
        <w:rPr>
          <w:lang w:val="en-US"/>
        </w:rPr>
        <w:t xml:space="preserve">tend to </w:t>
      </w:r>
      <w:r w:rsidRPr="008D4DFC">
        <w:rPr>
          <w:lang w:val="en-US"/>
        </w:rPr>
        <w:t xml:space="preserve">have conflicting interests about admitting more countries to the trading coalition. When expanding sectoral coverage, the bulk of potential cost reductions </w:t>
      </w:r>
      <w:r>
        <w:rPr>
          <w:lang w:val="en-US"/>
        </w:rPr>
        <w:lastRenderedPageBreak/>
        <w:t>is</w:t>
      </w:r>
      <w:r w:rsidRPr="008D4DFC">
        <w:rPr>
          <w:lang w:val="en-US"/>
        </w:rPr>
        <w:t xml:space="preserve"> achieved </w:t>
      </w:r>
      <w:r>
        <w:rPr>
          <w:lang w:val="en-US"/>
        </w:rPr>
        <w:t>in</w:t>
      </w:r>
      <w:r w:rsidRPr="008D4DFC">
        <w:rPr>
          <w:lang w:val="en-US"/>
        </w:rPr>
        <w:t xml:space="preserve"> the first step: going from “No trade” to a trading scheme that includes one sector with a sufficiently large emission share (in our case: the electricity sector). </w:t>
      </w:r>
      <w:r>
        <w:rPr>
          <w:lang w:val="en-US"/>
        </w:rPr>
        <w:t>Most countries</w:t>
      </w:r>
      <w:r w:rsidRPr="008D4DFC">
        <w:rPr>
          <w:lang w:val="en-US"/>
        </w:rPr>
        <w:t xml:space="preserve"> gain from sectoral expansion; however, we identify several cases in our applied analysis where countries might lose. The latter occurs if sectoral expansion makes the marginal abatement costs in the remaining non-trading sectors of these countries less elastic, so that they are less able to manipulate the quota price in their preferred direction. The economic implications of sectoral expansion are more significant </w:t>
      </w:r>
      <w:r>
        <w:rPr>
          <w:lang w:val="en-US"/>
        </w:rPr>
        <w:t xml:space="preserve">when only few countries take part in </w:t>
      </w:r>
      <w:r w:rsidRPr="008D4DFC">
        <w:rPr>
          <w:lang w:val="en-US"/>
        </w:rPr>
        <w:t>the emissions trading coalition, because an individual country has more market power in a smaller coalition. The quota price for partial sectoral coverage is higher under strategic allowance allocation than in a competitive setting</w:t>
      </w:r>
      <w:r>
        <w:rPr>
          <w:lang w:val="en-US"/>
        </w:rPr>
        <w:t>,</w:t>
      </w:r>
      <w:r w:rsidRPr="008D4DFC">
        <w:rPr>
          <w:lang w:val="en-US"/>
        </w:rPr>
        <w:t xml:space="preserve"> but sectoral expansion </w:t>
      </w:r>
      <w:r>
        <w:rPr>
          <w:lang w:val="en-US"/>
        </w:rPr>
        <w:t xml:space="preserve">usually </w:t>
      </w:r>
      <w:r w:rsidRPr="008D4DFC">
        <w:rPr>
          <w:lang w:val="en-US"/>
        </w:rPr>
        <w:t xml:space="preserve">reduces the quota price </w:t>
      </w:r>
      <w:r>
        <w:rPr>
          <w:lang w:val="en-US"/>
        </w:rPr>
        <w:t>towards the cost-effective price.</w:t>
      </w:r>
      <w:r w:rsidRPr="008D4DFC">
        <w:rPr>
          <w:lang w:val="en-US"/>
        </w:rPr>
        <w:t xml:space="preserve"> Exporters thus have more market power than importers, but their influence decreases when more sectors are added to the trading scheme. The reasoning behind this result is twofold. Firstly, as will be shown in our theoretical analysis for the case of symmetric countries, convex marginal abatement cost functions imply that it is less costly for exporters to over-supply their non-trading sectors than for importers to under-supply their non-trading sector. Secondly, as will be evident from our applied policy analysis, exporters are often bigger countries than importers, and thus have stronger market power.</w:t>
      </w:r>
    </w:p>
    <w:p w:rsidR="00D9026F" w:rsidRPr="008D4DFC" w:rsidRDefault="00D9026F" w:rsidP="00AF42F9">
      <w:pPr>
        <w:jc w:val="both"/>
        <w:rPr>
          <w:lang w:val="en-US"/>
        </w:rPr>
      </w:pPr>
    </w:p>
    <w:p w:rsidR="00D9026F" w:rsidRPr="008D4DFC" w:rsidRDefault="00D9026F" w:rsidP="00BD03CC">
      <w:pPr>
        <w:jc w:val="both"/>
        <w:rPr>
          <w:lang w:val="en-US"/>
        </w:rPr>
      </w:pPr>
      <w:r w:rsidRPr="008D4DFC">
        <w:rPr>
          <w:lang w:val="en-US"/>
        </w:rPr>
        <w:t>The seminal study on market power in markets of transferable property rights is Hahn (1984). Assuming a single firm has market power, he demonstrates that the inefficiency of the permit market increases as the number of permits allocated to this firm deviates further from the amount it uses in the competitive equilibrium. Hahn’s (1984) model has been extended by Westskog (1996) to allow for several dominant firms and by Malueg and Yates (2009a) to allow for market power by all firms. Maeda (2003) analyzes a permit market consisting of one large buyer, one large seller and many price-taking parties. He finds that the large seller has effective market power if and only if the volume of its excess permits exceeds the net shortage of permits in the market. The large buyer cannot have effective market power.</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In common with our paper, Helm (2003) models the endogenous choice of emission allowances by non-cooperative countries for a global pollutant in regimes with and without permit trading. The major difference from our paper is that Helm assumes that each country can choose its own national emission target strategically while the permit trading regime covers all sectors of the economy in all countries. Helm shows that environmentally less </w:t>
      </w:r>
      <w:r w:rsidRPr="008D4DFC">
        <w:rPr>
          <w:lang w:val="en-US"/>
        </w:rPr>
        <w:lastRenderedPageBreak/>
        <w:t>(more) concerned countries tend to choose more (fewer) allowances if these are tradable. The effect on overall emissions of introducing permit trade is ambiguous. Individual countries may lose from emissions trading if total emissions increase. In our paper, by contrast, international emissions trading always increases the welfare of the country joining the trading coalition, because each country's emissions target remains fixed at an exogenous policy level (in our case provided by official emission reduction pledges of countries up to 2020)</w:t>
      </w:r>
      <w:r>
        <w:rPr>
          <w:lang w:val="en-US"/>
        </w:rPr>
        <w:t>.</w:t>
      </w:r>
      <w:r w:rsidRPr="008D4DFC">
        <w:rPr>
          <w:lang w:val="en-US"/>
        </w:rPr>
        <w:t xml:space="preserve"> Godal and Holtsmark (201</w:t>
      </w:r>
      <w:r>
        <w:rPr>
          <w:lang w:val="en-US"/>
        </w:rPr>
        <w:t>1</w:t>
      </w:r>
      <w:r w:rsidRPr="008D4DFC">
        <w:rPr>
          <w:lang w:val="en-US"/>
        </w:rPr>
        <w:t>) show, within a similar context as Helm (2003), that if countries can tax domestic emissions, allowing for permit trade does not change emission levels as countries re-adjust domestic tax rates.</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Babiker et al. (2004) illustrate in a computable general equilibrium analysis that countries exporting emission permits may lose from joining an international emissions trading scheme if efficiency costs associated with the pre-existing distortionary taxes are larger than the primary gains from emissions trading. Similarly, Böhringer et al. (2008) and Eichner and Pethig (2009) point to potentially large efficiency losses from the imposition of emission taxes in sectors that are covered by the EU ETS whenever tax rates differ across trading regions.</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Finally let us review the theoretical and empirical literature analyzing international emissions trading schemes that only covers a part of all polluting sectors (like the EU ETS). Malueg and Yates (2009b) compare centralized and decentralized emission allocations under perfect and under asymmetric information from an economic efficiency perspective. They find that if countries do not behave strategically, the permit market should be decentralized (whether there is full or asymmetric information). If they do behave strategically, however, then either centralization or decentralization might be preferred.</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Dijkstra et al. (2011) examine in a theoretical framework whether a country could lose when the international trading scheme expands to cover more sectors. They find that if the expansion results in a country’s marginal abatement cost curve for the remaining non-trading sectors becoming much </w:t>
      </w:r>
      <w:r>
        <w:rPr>
          <w:lang w:val="en-US"/>
        </w:rPr>
        <w:t>steeper</w:t>
      </w:r>
      <w:r w:rsidRPr="008D4DFC">
        <w:rPr>
          <w:lang w:val="en-US"/>
        </w:rPr>
        <w:t>, this country will lose its ability to manipulate the international permit price in its favor, and may thus see its overall cost increase.</w:t>
      </w:r>
      <w:r w:rsidRPr="008D4DFC">
        <w:rPr>
          <w:rStyle w:val="FootnoteReference"/>
          <w:lang w:val="en-US"/>
        </w:rPr>
        <w:footnoteReference w:id="4"/>
      </w:r>
      <w:r w:rsidRPr="008D4DFC">
        <w:rPr>
          <w:lang w:val="en-US"/>
        </w:rPr>
        <w:t xml:space="preserve"> </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lastRenderedPageBreak/>
        <w:t>In an empirical application, Bernard et al. (2004) use a computable general equilibrium model (GEMINI-E3) to investigate the economic impacts of market power in emissions trading for the EU-15. They identify three major players: Germany operates as a potential seller while Italy and the Netherlands are assumed to collude as potential buyers. The three countries' deviations from the competitive allocation are rather negligible, however, as are the associated overall welfare losses. Using the same model, Viguier et al. (2006) show that EU Member States with high abatement costs could be tempted to give a generous initial allocation of allowances to their energy-intensive industries; yet, the economic incentives to act strategically are relatively small.</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Böhringer and Rosendahl (2009) quantify the implications of strategic emission allocation between trading and non-trading sectors for the EU-27. They find that strategic behavior leads to substantial differentiation of marginal abatement costs across EU Member States in the non-trading sectors. However, the effects of strategic allowance allocation on the quota price and total abatement costs are quite modest. </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The present paper provides an extension to the theoretical analysis by Dijkstra et al. (2008</w:t>
      </w:r>
      <w:r>
        <w:rPr>
          <w:lang w:val="en-US"/>
        </w:rPr>
        <w:t>, 2011</w:t>
      </w:r>
      <w:r w:rsidRPr="008D4DFC">
        <w:rPr>
          <w:lang w:val="en-US"/>
        </w:rPr>
        <w:t xml:space="preserve">) and the numerical study by Böhringer and Rosendahl (2009). We consider the effects of both regional and sectoral coverage. Beyond addressing a larger variety of sectoral coverage, we investigate the impacts of strategic allowance allocation within a global setting featuring all major climate policy players. Furthermore, we </w:t>
      </w:r>
      <w:r>
        <w:rPr>
          <w:lang w:val="en-US"/>
        </w:rPr>
        <w:t xml:space="preserve">show analytically that </w:t>
      </w:r>
      <w:r w:rsidRPr="008D4DFC">
        <w:rPr>
          <w:lang w:val="en-US"/>
        </w:rPr>
        <w:t>exporters tend to have stronger strategic power than importers which helps us to explain the policy-relevant outcome of our numerical simulations.</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The remainder of this paper is organized as follows. In Section 2 we present a stylized theoretical framework to study key mechanisms of strategic allowance allocation in multi-sector, multi-region emission markets. </w:t>
      </w:r>
      <w:r>
        <w:rPr>
          <w:lang w:val="en-US"/>
        </w:rPr>
        <w:t>Then i</w:t>
      </w:r>
      <w:r w:rsidRPr="008D4DFC">
        <w:rPr>
          <w:lang w:val="en-US"/>
        </w:rPr>
        <w:t xml:space="preserve">n </w:t>
      </w:r>
      <w:r>
        <w:rPr>
          <w:lang w:val="en-US"/>
        </w:rPr>
        <w:t>S</w:t>
      </w:r>
      <w:r w:rsidRPr="008D4DFC">
        <w:rPr>
          <w:lang w:val="en-US"/>
        </w:rPr>
        <w:t xml:space="preserve">ection 3 we lay out the structure and the data for our numerical model in use for applied policy analysis. In </w:t>
      </w:r>
      <w:r>
        <w:rPr>
          <w:lang w:val="en-US"/>
        </w:rPr>
        <w:t>S</w:t>
      </w:r>
      <w:r w:rsidRPr="008D4DFC">
        <w:rPr>
          <w:lang w:val="en-US"/>
        </w:rPr>
        <w:t xml:space="preserve">ection 4 we describe our policy scenarios and provide an economic interpretation of the simulation results. </w:t>
      </w:r>
      <w:r>
        <w:rPr>
          <w:lang w:val="en-US"/>
        </w:rPr>
        <w:t>Finally, i</w:t>
      </w:r>
      <w:r w:rsidRPr="008D4DFC">
        <w:rPr>
          <w:lang w:val="en-US"/>
        </w:rPr>
        <w:t xml:space="preserve">n </w:t>
      </w:r>
      <w:r>
        <w:rPr>
          <w:lang w:val="en-US"/>
        </w:rPr>
        <w:t>S</w:t>
      </w:r>
      <w:r w:rsidRPr="008D4DFC">
        <w:rPr>
          <w:lang w:val="en-US"/>
        </w:rPr>
        <w:t>ection 5 we conclude.</w:t>
      </w:r>
    </w:p>
    <w:p w:rsidR="00D9026F" w:rsidRPr="008D4DFC" w:rsidRDefault="00D9026F" w:rsidP="00BD03CC">
      <w:pPr>
        <w:pStyle w:val="Heading1"/>
        <w:jc w:val="both"/>
        <w:rPr>
          <w:lang w:val="en-US"/>
        </w:rPr>
      </w:pPr>
      <w:r w:rsidRPr="008D4DFC">
        <w:rPr>
          <w:lang w:val="en-US"/>
        </w:rPr>
        <w:t>2. Theoretical Considerations</w:t>
      </w:r>
    </w:p>
    <w:p w:rsidR="00D9026F" w:rsidRPr="008D4DFC" w:rsidRDefault="00D9026F" w:rsidP="00BD03CC">
      <w:pPr>
        <w:jc w:val="both"/>
        <w:rPr>
          <w:lang w:val="en-US"/>
        </w:rPr>
      </w:pPr>
      <w:r w:rsidRPr="008D4DFC">
        <w:rPr>
          <w:lang w:val="en-US"/>
        </w:rPr>
        <w:t>We use the same analytical model as in Dijkstra et al. (2008</w:t>
      </w:r>
      <w:r>
        <w:rPr>
          <w:lang w:val="en-US"/>
        </w:rPr>
        <w:t>, 2011</w:t>
      </w:r>
      <w:r w:rsidRPr="008D4DFC">
        <w:rPr>
          <w:lang w:val="en-US"/>
        </w:rPr>
        <w:t xml:space="preserve">) and Böhringer and Rosendahl (2009). Let there be </w:t>
      </w:r>
      <w:r w:rsidRPr="008D4DFC">
        <w:rPr>
          <w:i/>
          <w:lang w:val="en-US"/>
        </w:rPr>
        <w:t>n</w:t>
      </w:r>
      <w:r w:rsidRPr="008D4DFC">
        <w:rPr>
          <w:lang w:val="en-US"/>
        </w:rPr>
        <w:t xml:space="preserve"> countries, </w:t>
      </w:r>
      <w:r w:rsidRPr="008D4DFC">
        <w:rPr>
          <w:i/>
          <w:lang w:val="en-US"/>
        </w:rPr>
        <w:t>i</w:t>
      </w:r>
      <w:r w:rsidRPr="008D4DFC">
        <w:rPr>
          <w:lang w:val="en-US"/>
        </w:rPr>
        <w:t xml:space="preserve"> = 1,…,</w:t>
      </w:r>
      <w:r w:rsidRPr="008D4DFC">
        <w:rPr>
          <w:i/>
          <w:lang w:val="en-US"/>
        </w:rPr>
        <w:t>n</w:t>
      </w:r>
      <w:r w:rsidRPr="008D4DFC">
        <w:rPr>
          <w:lang w:val="en-US"/>
        </w:rPr>
        <w:t xml:space="preserve">. Country </w:t>
      </w:r>
      <w:r w:rsidRPr="008D4DFC">
        <w:rPr>
          <w:i/>
          <w:lang w:val="en-US"/>
        </w:rPr>
        <w:t>i</w:t>
      </w:r>
      <w:r w:rsidRPr="008D4DFC">
        <w:rPr>
          <w:lang w:val="en-US"/>
        </w:rPr>
        <w:t xml:space="preserve"> has an exogenously given </w:t>
      </w:r>
      <w:r w:rsidRPr="008D4DFC">
        <w:rPr>
          <w:lang w:val="en-US"/>
        </w:rPr>
        <w:lastRenderedPageBreak/>
        <w:t xml:space="preserve">emission ceiling </w:t>
      </w:r>
      <w:r w:rsidRPr="008D4DFC">
        <w:rPr>
          <w:i/>
          <w:lang w:val="en-US"/>
        </w:rPr>
        <w:t>E</w:t>
      </w:r>
      <w:r w:rsidRPr="008D4DFC">
        <w:rPr>
          <w:i/>
          <w:vertAlign w:val="subscript"/>
          <w:lang w:val="en-US"/>
        </w:rPr>
        <w:t>i</w:t>
      </w:r>
      <w:r w:rsidRPr="008D4DFC">
        <w:rPr>
          <w:lang w:val="en-US"/>
        </w:rPr>
        <w:t>. In policy practice, the latter could reflect legally binding commitments such as the Kyoto targets or prospective Post-Kyoto pledges such as the national communications to the Copenhagen Accords (UNFCCC, 20</w:t>
      </w:r>
      <w:r>
        <w:rPr>
          <w:lang w:val="en-US"/>
        </w:rPr>
        <w:t>10</w:t>
      </w:r>
      <w:r w:rsidRPr="008D4DFC">
        <w:rPr>
          <w:lang w:val="en-US"/>
        </w:rPr>
        <w:t xml:space="preserve"> – cf. section 3). The main point in our context is that the total ceiling is assumed to be unaffected by sectoral or regional expansions of the emissions trading scheme. Polluters in each country are divided into a trading segment </w:t>
      </w:r>
      <w:r w:rsidRPr="008D4DFC">
        <w:rPr>
          <w:i/>
          <w:iCs/>
          <w:lang w:val="en-US"/>
        </w:rPr>
        <w:t>T</w:t>
      </w:r>
      <w:r w:rsidRPr="008D4DFC">
        <w:rPr>
          <w:lang w:val="en-US"/>
        </w:rPr>
        <w:t xml:space="preserve"> and a non-trading segment </w:t>
      </w:r>
      <w:r w:rsidRPr="008D4DFC">
        <w:rPr>
          <w:i/>
          <w:iCs/>
          <w:lang w:val="en-US"/>
        </w:rPr>
        <w:t>NT</w:t>
      </w:r>
      <w:r w:rsidRPr="008D4DFC">
        <w:rPr>
          <w:lang w:val="en-US"/>
        </w:rPr>
        <w:t>.</w:t>
      </w:r>
      <w:r w:rsidRPr="008D4DFC">
        <w:rPr>
          <w:rStyle w:val="FootnoteReference"/>
          <w:lang w:val="en-US"/>
        </w:rPr>
        <w:footnoteReference w:id="5"/>
      </w:r>
      <w:r w:rsidRPr="008D4DFC">
        <w:rPr>
          <w:lang w:val="en-US"/>
        </w:rPr>
        <w:t xml:space="preserve"> The rules according to which polluters (or polluting activities) are divided into the two segments are exogenous. Total abatement costs of reducing emissions from business-as-usual to the emission level </w:t>
      </w:r>
      <w:r w:rsidRPr="008D4DFC">
        <w:rPr>
          <w:i/>
          <w:lang w:val="en-US"/>
        </w:rPr>
        <w:t>e</w:t>
      </w:r>
      <w:r w:rsidRPr="008D4DFC">
        <w:rPr>
          <w:i/>
          <w:vertAlign w:val="subscript"/>
          <w:lang w:val="en-US"/>
        </w:rPr>
        <w:t>i,T</w:t>
      </w:r>
      <w:r w:rsidRPr="008D4DFC">
        <w:rPr>
          <w:lang w:val="en-US"/>
        </w:rPr>
        <w:t xml:space="preserve"> in country </w:t>
      </w:r>
      <w:r w:rsidRPr="008D4DFC">
        <w:rPr>
          <w:i/>
          <w:lang w:val="en-US"/>
        </w:rPr>
        <w:t>i</w:t>
      </w:r>
      <w:r w:rsidRPr="008D4DFC">
        <w:rPr>
          <w:lang w:val="en-US"/>
        </w:rPr>
        <w:t xml:space="preserve">’s trading segment are </w:t>
      </w:r>
      <w:r w:rsidRPr="008D4DFC">
        <w:rPr>
          <w:i/>
          <w:lang w:val="en-US"/>
        </w:rPr>
        <w:t>C</w:t>
      </w:r>
      <w:r w:rsidRPr="008D4DFC">
        <w:rPr>
          <w:i/>
          <w:vertAlign w:val="subscript"/>
          <w:lang w:val="en-US"/>
        </w:rPr>
        <w:t>i,T</w:t>
      </w:r>
      <w:r w:rsidRPr="008D4DFC">
        <w:rPr>
          <w:lang w:val="en-US"/>
        </w:rPr>
        <w:t>(</w:t>
      </w:r>
      <w:r w:rsidRPr="008D4DFC">
        <w:rPr>
          <w:i/>
          <w:lang w:val="en-US"/>
        </w:rPr>
        <w:t>e</w:t>
      </w:r>
      <w:r w:rsidRPr="008D4DFC">
        <w:rPr>
          <w:i/>
          <w:vertAlign w:val="subscript"/>
          <w:lang w:val="en-US"/>
        </w:rPr>
        <w:t>i,T</w:t>
      </w:r>
      <w:r w:rsidRPr="008D4DFC">
        <w:rPr>
          <w:lang w:val="en-US"/>
        </w:rPr>
        <w:t xml:space="preserve">), with marginal abatement costs </w:t>
      </w:r>
      <w:r w:rsidRPr="008D4DFC">
        <w:rPr>
          <w:i/>
          <w:lang w:val="en-US"/>
        </w:rPr>
        <w:t>MC</w:t>
      </w:r>
      <w:r w:rsidRPr="008D4DFC">
        <w:rPr>
          <w:i/>
          <w:vertAlign w:val="subscript"/>
          <w:lang w:val="en-US"/>
        </w:rPr>
        <w:t>i,T</w:t>
      </w:r>
      <w:r w:rsidRPr="008D4DFC">
        <w:rPr>
          <w:lang w:val="en-US"/>
        </w:rPr>
        <w:t xml:space="preserve"> positive (</w:t>
      </w:r>
      <w:r w:rsidRPr="008D4DFC">
        <w:rPr>
          <w:i/>
          <w:lang w:val="en-US"/>
        </w:rPr>
        <w:t>MC</w:t>
      </w:r>
      <w:r w:rsidRPr="008D4DFC">
        <w:rPr>
          <w:i/>
          <w:vertAlign w:val="subscript"/>
          <w:lang w:val="en-US"/>
        </w:rPr>
        <w:t>i,T</w:t>
      </w:r>
      <w:r w:rsidRPr="008D4DFC">
        <w:rPr>
          <w:lang w:val="en-US"/>
        </w:rPr>
        <w:t xml:space="preserve"> </w:t>
      </w:r>
      <w:r>
        <w:rPr>
          <w:lang w:val="en-US"/>
        </w:rPr>
        <w:t>≡</w:t>
      </w:r>
      <w:r w:rsidRPr="008D4DFC">
        <w:rPr>
          <w:lang w:val="en-US"/>
        </w:rPr>
        <w:t xml:space="preserve"> –</w:t>
      </w:r>
      <w:r w:rsidRPr="008D4DFC">
        <w:rPr>
          <w:i/>
          <w:lang w:val="en-US"/>
        </w:rPr>
        <w:t>C′</w:t>
      </w:r>
      <w:r w:rsidRPr="008D4DFC">
        <w:rPr>
          <w:i/>
          <w:vertAlign w:val="subscript"/>
          <w:lang w:val="en-US"/>
        </w:rPr>
        <w:t>i,T</w:t>
      </w:r>
      <w:r w:rsidRPr="008D4DFC">
        <w:rPr>
          <w:lang w:val="en-US"/>
        </w:rPr>
        <w:t>(</w:t>
      </w:r>
      <w:r w:rsidRPr="008D4DFC">
        <w:rPr>
          <w:i/>
          <w:lang w:val="en-US"/>
        </w:rPr>
        <w:t>e</w:t>
      </w:r>
      <w:r w:rsidRPr="008D4DFC">
        <w:rPr>
          <w:i/>
          <w:vertAlign w:val="subscript"/>
          <w:lang w:val="en-US"/>
        </w:rPr>
        <w:t>i,T</w:t>
      </w:r>
      <w:r w:rsidRPr="008D4DFC">
        <w:rPr>
          <w:lang w:val="en-US"/>
        </w:rPr>
        <w:t>) &gt; 0) and decreasing in emissions (–</w:t>
      </w:r>
      <w:r w:rsidRPr="008D4DFC">
        <w:rPr>
          <w:i/>
          <w:lang w:val="en-US"/>
        </w:rPr>
        <w:t>C′′</w:t>
      </w:r>
      <w:r w:rsidRPr="008D4DFC">
        <w:rPr>
          <w:i/>
          <w:vertAlign w:val="subscript"/>
          <w:lang w:val="en-US"/>
        </w:rPr>
        <w:t>i,T</w:t>
      </w:r>
      <w:r w:rsidRPr="008D4DFC">
        <w:rPr>
          <w:lang w:val="en-US"/>
        </w:rPr>
        <w:t>(</w:t>
      </w:r>
      <w:r w:rsidRPr="008D4DFC">
        <w:rPr>
          <w:i/>
          <w:lang w:val="en-US"/>
        </w:rPr>
        <w:t>e</w:t>
      </w:r>
      <w:r w:rsidRPr="008D4DFC">
        <w:rPr>
          <w:i/>
          <w:vertAlign w:val="subscript"/>
          <w:lang w:val="en-US"/>
        </w:rPr>
        <w:t>i,T</w:t>
      </w:r>
      <w:r w:rsidRPr="008D4DFC">
        <w:rPr>
          <w:lang w:val="en-US"/>
        </w:rPr>
        <w:t xml:space="preserve">) &lt; 0). Total abatement costs of emissions </w:t>
      </w:r>
      <w:r w:rsidRPr="008D4DFC">
        <w:rPr>
          <w:i/>
          <w:lang w:val="en-US"/>
        </w:rPr>
        <w:t>e</w:t>
      </w:r>
      <w:r w:rsidRPr="008D4DFC">
        <w:rPr>
          <w:i/>
          <w:vertAlign w:val="subscript"/>
          <w:lang w:val="en-US"/>
        </w:rPr>
        <w:t>i,NT</w:t>
      </w:r>
      <w:r w:rsidRPr="008D4DFC">
        <w:rPr>
          <w:lang w:val="en-US"/>
        </w:rPr>
        <w:t xml:space="preserve"> in the non-trading segment of country </w:t>
      </w:r>
      <w:r w:rsidRPr="008D4DFC">
        <w:rPr>
          <w:i/>
          <w:lang w:val="en-US"/>
        </w:rPr>
        <w:t>i</w:t>
      </w:r>
      <w:r w:rsidRPr="008D4DFC">
        <w:rPr>
          <w:lang w:val="en-US"/>
        </w:rPr>
        <w:t xml:space="preserve"> are </w:t>
      </w:r>
      <w:r w:rsidRPr="008D4DFC">
        <w:rPr>
          <w:i/>
          <w:lang w:val="en-US"/>
        </w:rPr>
        <w:t>C</w:t>
      </w:r>
      <w:r w:rsidRPr="008D4DFC">
        <w:rPr>
          <w:i/>
          <w:vertAlign w:val="subscript"/>
          <w:lang w:val="en-US"/>
        </w:rPr>
        <w:t>i,NT</w:t>
      </w:r>
      <w:r w:rsidRPr="008D4DFC">
        <w:rPr>
          <w:lang w:val="en-US"/>
        </w:rPr>
        <w:t>(</w:t>
      </w:r>
      <w:r w:rsidRPr="008D4DFC">
        <w:rPr>
          <w:i/>
          <w:lang w:val="en-US"/>
        </w:rPr>
        <w:t>e</w:t>
      </w:r>
      <w:r w:rsidRPr="008D4DFC">
        <w:rPr>
          <w:i/>
          <w:vertAlign w:val="subscript"/>
          <w:lang w:val="en-US"/>
        </w:rPr>
        <w:t>i,NT</w:t>
      </w:r>
      <w:r w:rsidRPr="008D4DFC">
        <w:rPr>
          <w:lang w:val="en-US"/>
        </w:rPr>
        <w:t xml:space="preserve">), again with </w:t>
      </w:r>
      <w:r w:rsidRPr="008D4DFC">
        <w:rPr>
          <w:i/>
          <w:lang w:val="en-US"/>
        </w:rPr>
        <w:t>MC</w:t>
      </w:r>
      <w:r w:rsidRPr="008D4DFC">
        <w:rPr>
          <w:i/>
          <w:vertAlign w:val="subscript"/>
          <w:lang w:val="en-US"/>
        </w:rPr>
        <w:t>i,NT</w:t>
      </w:r>
      <w:r w:rsidRPr="008D4DFC">
        <w:rPr>
          <w:lang w:val="en-US"/>
        </w:rPr>
        <w:t xml:space="preserve"> </w:t>
      </w:r>
      <w:r>
        <w:rPr>
          <w:lang w:val="en-US"/>
        </w:rPr>
        <w:t>≡</w:t>
      </w:r>
      <w:r w:rsidRPr="008D4DFC">
        <w:rPr>
          <w:lang w:val="en-US"/>
        </w:rPr>
        <w:t xml:space="preserve"> –</w:t>
      </w:r>
      <w:r w:rsidRPr="008D4DFC">
        <w:rPr>
          <w:i/>
          <w:lang w:val="en-US"/>
        </w:rPr>
        <w:t>C′</w:t>
      </w:r>
      <w:r w:rsidRPr="008D4DFC">
        <w:rPr>
          <w:i/>
          <w:vertAlign w:val="subscript"/>
          <w:lang w:val="en-US"/>
        </w:rPr>
        <w:t>i,NT</w:t>
      </w:r>
      <w:r w:rsidRPr="008D4DFC">
        <w:rPr>
          <w:lang w:val="en-US"/>
        </w:rPr>
        <w:t>(</w:t>
      </w:r>
      <w:r w:rsidRPr="008D4DFC">
        <w:rPr>
          <w:i/>
          <w:lang w:val="en-US"/>
        </w:rPr>
        <w:t>e</w:t>
      </w:r>
      <w:r w:rsidRPr="008D4DFC">
        <w:rPr>
          <w:i/>
          <w:vertAlign w:val="subscript"/>
          <w:lang w:val="en-US"/>
        </w:rPr>
        <w:t>i,NT</w:t>
      </w:r>
      <w:r w:rsidRPr="008D4DFC">
        <w:rPr>
          <w:lang w:val="en-US"/>
        </w:rPr>
        <w:t>) &gt; 0, –</w:t>
      </w:r>
      <w:r w:rsidRPr="008D4DFC">
        <w:rPr>
          <w:i/>
          <w:lang w:val="en-US"/>
        </w:rPr>
        <w:t>C′′</w:t>
      </w:r>
      <w:r w:rsidRPr="008D4DFC">
        <w:rPr>
          <w:i/>
          <w:vertAlign w:val="subscript"/>
          <w:lang w:val="en-US"/>
        </w:rPr>
        <w:t>i,NT</w:t>
      </w:r>
      <w:r w:rsidRPr="008D4DFC">
        <w:rPr>
          <w:lang w:val="en-US"/>
        </w:rPr>
        <w:t>(</w:t>
      </w:r>
      <w:r w:rsidRPr="008D4DFC">
        <w:rPr>
          <w:i/>
          <w:lang w:val="en-US"/>
        </w:rPr>
        <w:t>e</w:t>
      </w:r>
      <w:r w:rsidRPr="008D4DFC">
        <w:rPr>
          <w:i/>
          <w:vertAlign w:val="subscript"/>
          <w:lang w:val="en-US"/>
        </w:rPr>
        <w:t>i,NT</w:t>
      </w:r>
      <w:r w:rsidRPr="008D4DFC">
        <w:rPr>
          <w:lang w:val="en-US"/>
        </w:rPr>
        <w:t xml:space="preserve">) &lt; 0. </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When there is an international permit trading scheme, the polluters in the trading segment can trade internationally with each other, but the polluters in the non-trading segment cannot. We assume that firms that do not trade permits internationally can be regulated efficiently at the domestic level such that all firms within a country have the same marginal abatement costs. The latter could be achieved through a domestic trading scheme or a domestic emission tax for the non-trading segment</w:t>
      </w:r>
      <w:r>
        <w:rPr>
          <w:lang w:val="en-US"/>
        </w:rPr>
        <w:t xml:space="preserve"> </w:t>
      </w:r>
      <w:r w:rsidRPr="006475A1">
        <w:rPr>
          <w:i/>
          <w:lang w:val="en-US"/>
        </w:rPr>
        <w:t>NT</w:t>
      </w:r>
      <w:r w:rsidRPr="008D4DFC">
        <w:rPr>
          <w:lang w:val="en-US"/>
        </w:rPr>
        <w:t>.</w:t>
      </w:r>
    </w:p>
    <w:p w:rsidR="00D9026F" w:rsidRPr="008D4DFC" w:rsidRDefault="00D9026F" w:rsidP="00BD03CC">
      <w:pPr>
        <w:jc w:val="both"/>
        <w:rPr>
          <w:lang w:val="en-US"/>
        </w:rPr>
      </w:pPr>
    </w:p>
    <w:p w:rsidR="00D9026F" w:rsidRPr="008D4DFC" w:rsidRDefault="00D9026F" w:rsidP="00CE1835">
      <w:pPr>
        <w:jc w:val="both"/>
        <w:rPr>
          <w:lang w:val="en-US"/>
        </w:rPr>
      </w:pPr>
      <w:r w:rsidRPr="008D4DFC">
        <w:rPr>
          <w:lang w:val="en-US"/>
        </w:rPr>
        <w:t xml:space="preserve">Let us start with the benchmark case </w:t>
      </w:r>
      <w:r w:rsidRPr="008D4DFC">
        <w:rPr>
          <w:i/>
          <w:iCs/>
          <w:lang w:val="en-US"/>
        </w:rPr>
        <w:t>NTR</w:t>
      </w:r>
      <w:r w:rsidRPr="008D4DFC">
        <w:rPr>
          <w:lang w:val="en-US"/>
        </w:rPr>
        <w:t xml:space="preserve"> in which there is no international emissions trading. Each country </w:t>
      </w:r>
      <w:r w:rsidRPr="008D4DFC">
        <w:rPr>
          <w:i/>
          <w:lang w:val="en-US"/>
        </w:rPr>
        <w:t>i</w:t>
      </w:r>
      <w:r w:rsidRPr="008D4DFC">
        <w:rPr>
          <w:lang w:val="en-US"/>
        </w:rPr>
        <w:t xml:space="preserve"> has to decide how to divide its total emission ceiling </w:t>
      </w:r>
      <w:r w:rsidRPr="008D4DFC">
        <w:rPr>
          <w:i/>
          <w:lang w:val="en-US"/>
        </w:rPr>
        <w:t>E</w:t>
      </w:r>
      <w:r w:rsidRPr="008D4DFC">
        <w:rPr>
          <w:i/>
          <w:vertAlign w:val="subscript"/>
          <w:lang w:val="en-US"/>
        </w:rPr>
        <w:t>i</w:t>
      </w:r>
      <w:r w:rsidRPr="008D4DFC">
        <w:rPr>
          <w:lang w:val="en-US"/>
        </w:rPr>
        <w:t xml:space="preserve"> between the trading and the non-trading segment. It allocates </w:t>
      </w:r>
      <w:r w:rsidRPr="008D4DFC">
        <w:rPr>
          <w:i/>
          <w:lang w:val="en-US"/>
        </w:rPr>
        <w:t>e</w:t>
      </w:r>
      <w:r w:rsidRPr="008D4DFC">
        <w:rPr>
          <w:i/>
          <w:vertAlign w:val="subscript"/>
          <w:lang w:val="en-US"/>
        </w:rPr>
        <w:t>i,T</w:t>
      </w:r>
      <w:r w:rsidRPr="008D4DFC">
        <w:rPr>
          <w:lang w:val="en-US"/>
        </w:rPr>
        <w:t xml:space="preserve"> &gt; 0 emissions to the trading segment and the rest </w:t>
      </w:r>
      <w:r w:rsidRPr="008D4DFC">
        <w:rPr>
          <w:i/>
          <w:lang w:val="en-US"/>
        </w:rPr>
        <w:t>e</w:t>
      </w:r>
      <w:r w:rsidRPr="008D4DFC">
        <w:rPr>
          <w:i/>
          <w:vertAlign w:val="subscript"/>
          <w:lang w:val="en-US"/>
        </w:rPr>
        <w:t>i,NT</w:t>
      </w:r>
      <w:r w:rsidRPr="008D4DFC">
        <w:rPr>
          <w:lang w:val="en-US"/>
        </w:rPr>
        <w:t xml:space="preserve"> = </w:t>
      </w:r>
      <w:r w:rsidRPr="008D4DFC">
        <w:rPr>
          <w:i/>
          <w:lang w:val="en-US"/>
        </w:rPr>
        <w:t>E</w:t>
      </w:r>
      <w:r w:rsidRPr="008D4DFC">
        <w:rPr>
          <w:i/>
          <w:vertAlign w:val="subscript"/>
          <w:lang w:val="en-US"/>
        </w:rPr>
        <w:t>i</w:t>
      </w:r>
      <w:r w:rsidRPr="008D4DFC">
        <w:rPr>
          <w:lang w:val="en-US"/>
        </w:rPr>
        <w:t xml:space="preserve"> – </w:t>
      </w:r>
      <w:r w:rsidRPr="008D4DFC">
        <w:rPr>
          <w:i/>
          <w:lang w:val="en-US"/>
        </w:rPr>
        <w:t>e</w:t>
      </w:r>
      <w:r w:rsidRPr="008D4DFC">
        <w:rPr>
          <w:i/>
          <w:vertAlign w:val="subscript"/>
          <w:lang w:val="en-US"/>
        </w:rPr>
        <w:t>i,T</w:t>
      </w:r>
      <w:r w:rsidRPr="008D4DFC">
        <w:rPr>
          <w:lang w:val="en-US"/>
        </w:rPr>
        <w:t xml:space="preserve"> &gt; 0 to the non-trading segment. Each country </w:t>
      </w:r>
      <w:r w:rsidRPr="008D4DFC">
        <w:rPr>
          <w:i/>
          <w:lang w:val="en-US"/>
        </w:rPr>
        <w:t>i</w:t>
      </w:r>
      <w:r w:rsidRPr="008D4DFC">
        <w:rPr>
          <w:lang w:val="en-US"/>
        </w:rPr>
        <w:t xml:space="preserve"> minimizes total costs of abatement:</w:t>
      </w:r>
    </w:p>
    <w:p w:rsidR="00D9026F" w:rsidRPr="008D4DFC" w:rsidRDefault="00D9026F" w:rsidP="00C65957">
      <w:pPr>
        <w:spacing w:before="120" w:after="120"/>
        <w:jc w:val="both"/>
        <w:rPr>
          <w:sz w:val="22"/>
          <w:szCs w:val="22"/>
          <w:lang w:val="en-US"/>
        </w:rPr>
      </w:pPr>
      <w:r w:rsidRPr="008D4DFC">
        <w:rPr>
          <w:position w:val="-18"/>
          <w:sz w:val="22"/>
          <w:szCs w:val="22"/>
          <w:lang w:val="en-US"/>
        </w:rPr>
        <w:object w:dxaOrig="330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23.75pt" o:ole="">
            <v:imagedata r:id="rId8" o:title=""/>
          </v:shape>
          <o:OLEObject Type="Embed" ProgID="Equation.DSMT4" ShapeID="_x0000_i1025" DrawAspect="Content" ObjectID="_1514967639" r:id="rId9"/>
        </w:object>
      </w:r>
      <w:r w:rsidRPr="008D4DFC">
        <w:rPr>
          <w:sz w:val="22"/>
          <w:szCs w:val="22"/>
          <w:lang w:val="en-US"/>
        </w:rPr>
        <w:fldChar w:fldCharType="begin"/>
      </w:r>
      <w:r w:rsidRPr="008D4DFC">
        <w:rPr>
          <w:sz w:val="22"/>
          <w:szCs w:val="22"/>
          <w:lang w:val="en-US"/>
        </w:rPr>
        <w:instrText xml:space="preserve"> QUOTE </w:instrText>
      </w:r>
      <m:oMath>
        <m:func>
          <m:funcPr>
            <m:ctrlPr>
              <w:rPr>
                <w:rFonts w:ascii="Cambria Math" w:hAnsi="Cambria Math"/>
                <w:i/>
                <w:lang w:val="en-US"/>
              </w:rPr>
            </m:ctrlPr>
          </m:funcPr>
          <m:fName>
            <m:r>
              <m:rPr>
                <m:sty m:val="p"/>
              </m:rPr>
              <w:rPr>
                <w:rFonts w:ascii="Cambria Math" w:hAnsi="Cambria Math"/>
                <w:lang w:val="en-US"/>
              </w:rPr>
              <m:t>min</m:t>
            </m:r>
          </m:fName>
          <m:e>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i,T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i,nT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i,T</m:t>
                </m:r>
              </m:sub>
            </m:sSub>
            <m:r>
              <m:rPr>
                <m:sty m:val="p"/>
              </m:rPr>
              <w:rPr>
                <w:rFonts w:ascii="Cambria Math" w:hAnsi="Cambria Math"/>
                <w:lang w:val="en-US"/>
              </w:rPr>
              <m:t>)</m:t>
            </m:r>
          </m:e>
        </m:func>
      </m:oMath>
      <w:r w:rsidRPr="008D4DFC">
        <w:rPr>
          <w:sz w:val="22"/>
          <w:szCs w:val="22"/>
          <w:lang w:val="en-US"/>
        </w:rPr>
        <w:instrText xml:space="preserve"> </w:instrText>
      </w:r>
      <w:r w:rsidRPr="008D4DFC">
        <w:rPr>
          <w:sz w:val="22"/>
          <w:szCs w:val="22"/>
          <w:lang w:val="en-US"/>
        </w:rPr>
        <w:fldChar w:fldCharType="end"/>
      </w:r>
      <w:r w:rsidRPr="008D4DFC">
        <w:rPr>
          <w:sz w:val="22"/>
          <w:szCs w:val="22"/>
          <w:lang w:val="en-US"/>
        </w:rPr>
        <w:tab/>
      </w:r>
      <w:r w:rsidRPr="008D4DFC">
        <w:rPr>
          <w:sz w:val="22"/>
          <w:szCs w:val="22"/>
          <w:lang w:val="en-US"/>
        </w:rPr>
        <w:tab/>
      </w:r>
      <w:r w:rsidRPr="008D4DFC">
        <w:rPr>
          <w:sz w:val="22"/>
          <w:szCs w:val="22"/>
          <w:lang w:val="en-US"/>
        </w:rPr>
        <w:tab/>
      </w:r>
      <w:r w:rsidRPr="008D4DFC">
        <w:rPr>
          <w:sz w:val="22"/>
          <w:szCs w:val="22"/>
          <w:lang w:val="en-US"/>
        </w:rPr>
        <w:tab/>
      </w:r>
      <w:r w:rsidRPr="008D4DFC">
        <w:rPr>
          <w:sz w:val="22"/>
          <w:szCs w:val="22"/>
          <w:lang w:val="en-US"/>
        </w:rPr>
        <w:tab/>
      </w:r>
      <w:r w:rsidRPr="008D4DFC">
        <w:rPr>
          <w:sz w:val="22"/>
          <w:szCs w:val="22"/>
          <w:lang w:val="en-US"/>
        </w:rPr>
        <w:tab/>
      </w:r>
      <w:r w:rsidRPr="008D4DFC">
        <w:rPr>
          <w:sz w:val="22"/>
          <w:szCs w:val="22"/>
          <w:lang w:val="en-US"/>
        </w:rPr>
        <w:tab/>
      </w:r>
      <w:r w:rsidRPr="008D4DFC">
        <w:rPr>
          <w:sz w:val="22"/>
          <w:szCs w:val="22"/>
          <w:lang w:val="en-US"/>
        </w:rPr>
        <w:tab/>
      </w:r>
      <w:r w:rsidRPr="00ED53A1">
        <w:rPr>
          <w:lang w:val="en-US"/>
        </w:rPr>
        <w:t>(1)</w:t>
      </w:r>
    </w:p>
    <w:p w:rsidR="00D9026F" w:rsidRPr="008D4DFC" w:rsidRDefault="00D9026F" w:rsidP="00BD03CC">
      <w:pPr>
        <w:jc w:val="both"/>
        <w:rPr>
          <w:lang w:val="en-US"/>
        </w:rPr>
      </w:pPr>
      <w:r w:rsidRPr="008D4DFC">
        <w:rPr>
          <w:lang w:val="en-US"/>
        </w:rPr>
        <w:t xml:space="preserve">Let </w:t>
      </w:r>
      <w:r w:rsidRPr="008D4DFC">
        <w:rPr>
          <w:position w:val="-14"/>
          <w:lang w:val="en-US"/>
        </w:rPr>
        <w:object w:dxaOrig="460" w:dyaOrig="400">
          <v:shape id="_x0000_i1028" type="#_x0000_t75" style="width:20.4pt;height:20.4pt" o:ole="">
            <v:imagedata r:id="rId10" o:title=""/>
          </v:shape>
          <o:OLEObject Type="Embed" ProgID="Equation.DSMT4" ShapeID="_x0000_i1028" DrawAspect="Content" ObjectID="_1514967640" r:id="rId11"/>
        </w:object>
      </w:r>
      <w:r w:rsidRPr="008D4DFC">
        <w:rPr>
          <w:lang w:val="en-US"/>
        </w:rPr>
        <w:t xml:space="preserve"> be the emissions allocated to and taking place in the trading segment without international emissions trading. From (1), </w:t>
      </w:r>
      <w:r w:rsidRPr="008D4DFC">
        <w:rPr>
          <w:position w:val="-14"/>
          <w:lang w:val="en-US"/>
        </w:rPr>
        <w:object w:dxaOrig="460" w:dyaOrig="400">
          <v:shape id="_x0000_i1029" type="#_x0000_t75" style="width:20.4pt;height:20.4pt" o:ole="">
            <v:imagedata r:id="rId10" o:title=""/>
          </v:shape>
          <o:OLEObject Type="Embed" ProgID="Equation.DSMT4" ShapeID="_x0000_i1029" DrawAspect="Content" ObjectID="_1514967641" r:id="rId12"/>
        </w:object>
      </w:r>
      <w:r w:rsidRPr="008D4DFC">
        <w:rPr>
          <w:lang w:val="en-US"/>
        </w:rPr>
        <w:t xml:space="preserve"> </w:t>
      </w:r>
      <w:r w:rsidRPr="008D4DFC">
        <w:rPr>
          <w:lang w:val="en-US"/>
        </w:rPr>
        <w:fldChar w:fldCharType="begin"/>
      </w:r>
      <w:r w:rsidRPr="008D4DFC">
        <w:rPr>
          <w:lang w:val="en-US"/>
        </w:rPr>
        <w:instrText xml:space="preserve"> QUOTE </w:instrText>
      </w:r>
      <m:oMath>
        <m:sSubSup>
          <m:sSubSupPr>
            <m:ctrlPr>
              <w:rPr>
                <w:rFonts w:ascii="Cambria Math" w:hAnsi="Cambria Math"/>
                <w:i/>
                <w:lang w:val="en-US"/>
              </w:rPr>
            </m:ctrlPr>
          </m:sSubSupPr>
          <m:e>
            <m:r>
              <m:rPr>
                <m:sty m:val="p"/>
              </m:rPr>
              <w:rPr>
                <w:rFonts w:ascii="Cambria Math" w:hAnsi="Cambria Math"/>
                <w:lang w:val="en-US"/>
              </w:rPr>
              <m:t>e</m:t>
            </m:r>
          </m:e>
          <m:sub>
            <m:r>
              <m:rPr>
                <m:sty m:val="p"/>
              </m:rPr>
              <w:rPr>
                <w:rFonts w:ascii="Cambria Math" w:hAnsi="Cambria Math"/>
                <w:lang w:val="en-US"/>
              </w:rPr>
              <m:t>i,T</m:t>
            </m:r>
          </m:sub>
          <m:sup>
            <m:r>
              <m:rPr>
                <m:sty m:val="p"/>
              </m:rPr>
              <w:rPr>
                <w:rFonts w:ascii="Cambria Math" w:hAnsi="Cambria Math"/>
                <w:lang w:val="en-US"/>
              </w:rPr>
              <m:t>NTR</m:t>
            </m:r>
          </m:sup>
        </m:sSubSup>
      </m:oMath>
      <w:r w:rsidRPr="008D4DFC">
        <w:rPr>
          <w:lang w:val="en-US"/>
        </w:rPr>
        <w:instrText xml:space="preserve"> </w:instrText>
      </w:r>
      <w:r w:rsidRPr="008D4DFC">
        <w:rPr>
          <w:lang w:val="en-US"/>
        </w:rPr>
        <w:fldChar w:fldCharType="end"/>
      </w:r>
      <w:r w:rsidRPr="008D4DFC">
        <w:rPr>
          <w:lang w:val="en-US"/>
        </w:rPr>
        <w:t>is given by the well-known first-order condition:</w:t>
      </w:r>
    </w:p>
    <w:p w:rsidR="00D9026F" w:rsidRPr="008D4DFC" w:rsidRDefault="00D9026F" w:rsidP="00014F22">
      <w:pPr>
        <w:pStyle w:val="Ligning"/>
        <w:rPr>
          <w:lang w:val="en-US"/>
        </w:rPr>
      </w:pPr>
      <w:r w:rsidRPr="0014267E">
        <w:rPr>
          <w:position w:val="-18"/>
          <w:lang w:val="en-US"/>
        </w:rPr>
        <w:object w:dxaOrig="3860" w:dyaOrig="440">
          <v:shape id="_x0000_i1032" type="#_x0000_t75" style="width:164.4pt;height:21.75pt" o:ole="">
            <v:imagedata r:id="rId13" o:title=""/>
          </v:shape>
          <o:OLEObject Type="Embed" ProgID="Equation.DSMT4" ShapeID="_x0000_i1032" DrawAspect="Content" ObjectID="_1514967642" r:id="rId14"/>
        </w:object>
      </w:r>
      <w:r w:rsidRPr="008D4DFC">
        <w:rPr>
          <w:lang w:val="en-US"/>
        </w:rPr>
        <w:fldChar w:fldCharType="begin"/>
      </w:r>
      <w:r w:rsidRPr="008D4DFC">
        <w:rPr>
          <w:lang w:val="en-US"/>
        </w:rPr>
        <w:instrText xml:space="preserve"> QUOTE </w:instrText>
      </w:r>
      <m:oMath>
        <m:func>
          <m:funcPr>
            <m:ctrlPr>
              <w:rPr>
                <w:rFonts w:ascii="Cambria Math" w:hAnsi="Cambria Math"/>
                <w:i/>
                <w:lang w:val="en-US"/>
              </w:rPr>
            </m:ctrlPr>
          </m:funcPr>
          <m:fName>
            <m:r>
              <m:rPr>
                <m:sty m:val="p"/>
              </m:rPr>
              <w:rPr>
                <w:rFonts w:ascii="Cambria Math" w:hAnsi="Cambria Math"/>
                <w:lang w:val="en-US"/>
              </w:rPr>
              <m:t>min</m:t>
            </m:r>
          </m:fName>
          <m:e>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i,T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i,nT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i,T</m:t>
                </m:r>
              </m:sub>
            </m:sSub>
            <m:r>
              <m:rPr>
                <m:sty m:val="p"/>
              </m:rPr>
              <w:rPr>
                <w:rFonts w:ascii="Cambria Math" w:hAnsi="Cambria Math"/>
                <w:lang w:val="en-US"/>
              </w:rPr>
              <m:t>)</m:t>
            </m:r>
          </m:e>
        </m:func>
      </m:oMath>
      <w:r w:rsidRPr="008D4DFC">
        <w:rPr>
          <w:lang w:val="en-US"/>
        </w:rPr>
        <w:instrText xml:space="preserve"> </w:instrText>
      </w:r>
      <w:r w:rsidRPr="008D4DFC">
        <w:rPr>
          <w:lang w:val="en-US"/>
        </w:rPr>
        <w:fldChar w:fldCharType="end"/>
      </w:r>
      <w:r w:rsidRPr="008D4DFC">
        <w:rPr>
          <w:lang w:val="en-US"/>
        </w:rPr>
        <w:tab/>
      </w:r>
      <w:r w:rsidRPr="008D4DFC">
        <w:rPr>
          <w:lang w:val="en-US"/>
        </w:rPr>
        <w:tab/>
      </w:r>
      <w:r w:rsidRPr="008D4DFC">
        <w:rPr>
          <w:lang w:val="en-US"/>
        </w:rPr>
        <w:tab/>
      </w:r>
      <w:r w:rsidRPr="008D4DFC">
        <w:rPr>
          <w:lang w:val="en-US"/>
        </w:rPr>
        <w:tab/>
      </w:r>
      <w:r w:rsidRPr="008D4DFC">
        <w:rPr>
          <w:lang w:val="en-US"/>
        </w:rPr>
        <w:tab/>
      </w:r>
      <w:r w:rsidRPr="008D4DFC">
        <w:rPr>
          <w:lang w:val="en-US"/>
        </w:rPr>
        <w:tab/>
      </w:r>
      <w:r w:rsidRPr="008D4DFC">
        <w:rPr>
          <w:lang w:val="en-US"/>
        </w:rPr>
        <w:tab/>
      </w:r>
      <w:r w:rsidRPr="008D4DFC">
        <w:rPr>
          <w:lang w:val="en-US"/>
        </w:rPr>
        <w:tab/>
      </w:r>
      <w:r>
        <w:rPr>
          <w:lang w:val="en-US"/>
        </w:rPr>
        <w:t>(2</w:t>
      </w:r>
      <w:r w:rsidRPr="00ED53A1">
        <w:rPr>
          <w:lang w:val="en-US"/>
        </w:rPr>
        <w:t>)</w:t>
      </w:r>
    </w:p>
    <w:p w:rsidR="00D9026F" w:rsidRDefault="00D9026F" w:rsidP="00BD03CC">
      <w:pPr>
        <w:jc w:val="both"/>
        <w:rPr>
          <w:lang w:val="en-US"/>
        </w:rPr>
      </w:pPr>
      <w:r>
        <w:rPr>
          <w:lang w:val="en-US"/>
        </w:rPr>
        <w:t xml:space="preserve">where </w:t>
      </w:r>
      <w:r w:rsidRPr="00C65957">
        <w:rPr>
          <w:position w:val="-12"/>
          <w:lang w:val="en-US"/>
        </w:rPr>
        <w:object w:dxaOrig="520" w:dyaOrig="380">
          <v:shape id="_x0000_i1035" type="#_x0000_t75" style="width:23.1pt;height:19.7pt" o:ole="">
            <v:imagedata r:id="rId15" o:title=""/>
          </v:shape>
          <o:OLEObject Type="Embed" ProgID="Equation.DSMT4" ShapeID="_x0000_i1035" DrawAspect="Content" ObjectID="_1514967643" r:id="rId16"/>
        </w:object>
      </w:r>
      <w:r>
        <w:rPr>
          <w:lang w:val="en-US"/>
        </w:rPr>
        <w:t xml:space="preserve"> is the emissions price in the </w:t>
      </w:r>
      <w:r w:rsidRPr="00C65957">
        <w:rPr>
          <w:i/>
          <w:lang w:val="en-US"/>
        </w:rPr>
        <w:t>NTR</w:t>
      </w:r>
      <w:r>
        <w:rPr>
          <w:lang w:val="en-US"/>
        </w:rPr>
        <w:t xml:space="preserve"> case.</w:t>
      </w:r>
    </w:p>
    <w:p w:rsidR="00D9026F" w:rsidRDefault="00D9026F" w:rsidP="00BD03CC">
      <w:pPr>
        <w:jc w:val="both"/>
        <w:rPr>
          <w:lang w:val="en-US"/>
        </w:rPr>
      </w:pPr>
    </w:p>
    <w:p w:rsidR="00D9026F" w:rsidRPr="008D4DFC" w:rsidRDefault="00D9026F" w:rsidP="00BD03CC">
      <w:pPr>
        <w:jc w:val="both"/>
        <w:rPr>
          <w:lang w:val="en-US"/>
        </w:rPr>
      </w:pPr>
      <w:r w:rsidRPr="008D4DFC">
        <w:rPr>
          <w:lang w:val="en-US"/>
        </w:rPr>
        <w:t xml:space="preserve">Figure 1 shows country </w:t>
      </w:r>
      <w:r w:rsidRPr="008D4DFC">
        <w:rPr>
          <w:i/>
          <w:lang w:val="en-US"/>
        </w:rPr>
        <w:t>i</w:t>
      </w:r>
      <w:r w:rsidRPr="008D4DFC">
        <w:rPr>
          <w:lang w:val="en-US"/>
        </w:rPr>
        <w:t xml:space="preserve">’s marginal abatement costs </w:t>
      </w:r>
      <w:r w:rsidRPr="008D4DFC">
        <w:rPr>
          <w:i/>
          <w:lang w:val="en-US"/>
        </w:rPr>
        <w:t>MC</w:t>
      </w:r>
      <w:r w:rsidRPr="008D4DFC">
        <w:rPr>
          <w:i/>
          <w:vertAlign w:val="subscript"/>
          <w:lang w:val="en-US"/>
        </w:rPr>
        <w:t>i,T</w:t>
      </w:r>
      <w:r w:rsidRPr="008D4DFC">
        <w:rPr>
          <w:lang w:val="en-US"/>
        </w:rPr>
        <w:t xml:space="preserve"> as a function of emissions </w:t>
      </w:r>
      <w:r w:rsidRPr="008D4DFC">
        <w:rPr>
          <w:i/>
          <w:lang w:val="en-US"/>
        </w:rPr>
        <w:t>e</w:t>
      </w:r>
      <w:r w:rsidRPr="008D4DFC">
        <w:rPr>
          <w:i/>
          <w:vertAlign w:val="subscript"/>
          <w:lang w:val="en-US"/>
        </w:rPr>
        <w:t>i,T</w:t>
      </w:r>
      <w:r w:rsidRPr="008D4DFC">
        <w:rPr>
          <w:lang w:val="en-US"/>
        </w:rPr>
        <w:t xml:space="preserve"> in the trading segment, measured from left to right. Further, the figure shows the country’s marginal abatement costs </w:t>
      </w:r>
      <w:r w:rsidRPr="008D4DFC">
        <w:rPr>
          <w:i/>
          <w:lang w:val="en-US"/>
        </w:rPr>
        <w:t>MC</w:t>
      </w:r>
      <w:r w:rsidRPr="008D4DFC">
        <w:rPr>
          <w:i/>
          <w:vertAlign w:val="subscript"/>
          <w:lang w:val="en-US"/>
        </w:rPr>
        <w:t>i,NT</w:t>
      </w:r>
      <w:r w:rsidRPr="008D4DFC">
        <w:rPr>
          <w:lang w:val="en-US"/>
        </w:rPr>
        <w:t xml:space="preserve"> as a function of emissions </w:t>
      </w:r>
      <w:r w:rsidRPr="008D4DFC">
        <w:rPr>
          <w:i/>
          <w:lang w:val="en-US"/>
        </w:rPr>
        <w:t>e</w:t>
      </w:r>
      <w:r w:rsidRPr="008D4DFC">
        <w:rPr>
          <w:i/>
          <w:vertAlign w:val="subscript"/>
          <w:lang w:val="en-US"/>
        </w:rPr>
        <w:t>i,NT</w:t>
      </w:r>
      <w:r w:rsidRPr="008D4DFC">
        <w:rPr>
          <w:lang w:val="en-US"/>
        </w:rPr>
        <w:t xml:space="preserve"> in the non-trading segment, measured from right to left. The national ceiling is given by the distance </w:t>
      </w:r>
      <w:r w:rsidRPr="008D4DFC">
        <w:rPr>
          <w:i/>
          <w:lang w:val="en-US"/>
        </w:rPr>
        <w:t>OE</w:t>
      </w:r>
      <w:r w:rsidRPr="008D4DFC">
        <w:rPr>
          <w:i/>
          <w:vertAlign w:val="subscript"/>
          <w:lang w:val="en-US"/>
        </w:rPr>
        <w:t>i</w:t>
      </w:r>
      <w:r w:rsidRPr="008D4DFC">
        <w:rPr>
          <w:lang w:val="en-US"/>
        </w:rPr>
        <w:t xml:space="preserve">. Without international trading, country </w:t>
      </w:r>
      <w:r w:rsidRPr="008D4DFC">
        <w:rPr>
          <w:i/>
          <w:lang w:val="en-US"/>
        </w:rPr>
        <w:t>i</w:t>
      </w:r>
      <w:r w:rsidRPr="008D4DFC">
        <w:rPr>
          <w:lang w:val="en-US"/>
        </w:rPr>
        <w:t xml:space="preserve"> sets </w:t>
      </w:r>
      <w:r w:rsidRPr="008D4DFC">
        <w:rPr>
          <w:i/>
          <w:lang w:val="en-US"/>
        </w:rPr>
        <w:t>MC</w:t>
      </w:r>
      <w:r w:rsidRPr="008D4DFC">
        <w:rPr>
          <w:i/>
          <w:vertAlign w:val="subscript"/>
          <w:lang w:val="en-US"/>
        </w:rPr>
        <w:t>i,T</w:t>
      </w:r>
      <w:r w:rsidRPr="008D4DFC">
        <w:rPr>
          <w:lang w:val="en-US"/>
        </w:rPr>
        <w:t xml:space="preserve"> = </w:t>
      </w:r>
      <w:r w:rsidRPr="008D4DFC">
        <w:rPr>
          <w:i/>
          <w:lang w:val="en-US"/>
        </w:rPr>
        <w:t>MC</w:t>
      </w:r>
      <w:r w:rsidRPr="008D4DFC">
        <w:rPr>
          <w:i/>
          <w:vertAlign w:val="subscript"/>
          <w:lang w:val="en-US"/>
        </w:rPr>
        <w:t>i,NT</w:t>
      </w:r>
      <w:r w:rsidRPr="008D4DFC">
        <w:rPr>
          <w:lang w:val="en-US"/>
        </w:rPr>
        <w:t xml:space="preserve"> by (2), so that emissions in the trading segment are </w:t>
      </w:r>
      <w:r w:rsidRPr="008D4DFC">
        <w:rPr>
          <w:position w:val="-14"/>
          <w:lang w:val="en-US"/>
        </w:rPr>
        <w:object w:dxaOrig="460" w:dyaOrig="400">
          <v:shape id="_x0000_i1036" type="#_x0000_t75" style="width:20.4pt;height:20.4pt" o:ole="">
            <v:imagedata r:id="rId10" o:title=""/>
          </v:shape>
          <o:OLEObject Type="Embed" ProgID="Equation.DSMT4" ShapeID="_x0000_i1036" DrawAspect="Content" ObjectID="_1514967644" r:id="rId17"/>
        </w:object>
      </w:r>
      <w:r w:rsidRPr="008D4DFC">
        <w:rPr>
          <w:lang w:val="en-US"/>
        </w:rPr>
        <w:t xml:space="preserve"> and marginal costs in both segments are </w:t>
      </w:r>
      <w:r w:rsidRPr="008D4DFC">
        <w:rPr>
          <w:position w:val="-12"/>
          <w:lang w:val="en-US"/>
        </w:rPr>
        <w:object w:dxaOrig="520" w:dyaOrig="380">
          <v:shape id="_x0000_i1037" type="#_x0000_t75" style="width:23.75pt;height:16.3pt" o:ole="">
            <v:imagedata r:id="rId18" o:title=""/>
          </v:shape>
          <o:OLEObject Type="Embed" ProgID="Equation.DSMT4" ShapeID="_x0000_i1037" DrawAspect="Content" ObjectID="_1514967645" r:id="rId19"/>
        </w:object>
      </w:r>
      <w:r w:rsidRPr="008D4DFC">
        <w:rPr>
          <w:lang w:val="en-US"/>
        </w:rPr>
        <w:t xml:space="preserve">. </w:t>
      </w:r>
    </w:p>
    <w:p w:rsidR="00D9026F" w:rsidRPr="008D4DFC" w:rsidRDefault="00D9026F" w:rsidP="00014F22">
      <w:pPr>
        <w:spacing w:before="240" w:after="120"/>
        <w:ind w:left="902" w:hanging="902"/>
        <w:jc w:val="both"/>
        <w:rPr>
          <w:bCs/>
          <w:lang w:val="en-US"/>
        </w:rPr>
      </w:pPr>
      <w:r w:rsidRPr="008D4DFC">
        <w:rPr>
          <w:bCs/>
          <w:lang w:val="en-US"/>
        </w:rPr>
        <w:t>Figure 1: The switch from no international emissions trading to competitive trade</w:t>
      </w:r>
    </w:p>
    <w:p w:rsidR="00D9026F" w:rsidRPr="008D4DFC" w:rsidRDefault="0083505D" w:rsidP="00475702">
      <w:pPr>
        <w:jc w:val="center"/>
        <w:rPr>
          <w:lang w:val="en-US"/>
        </w:rPr>
      </w:pPr>
      <w:r>
        <w:rPr>
          <w:noProof/>
          <w:lang w:val="en-GB" w:eastAsia="en-GB"/>
        </w:rPr>
        <w:drawing>
          <wp:inline distT="0" distB="0" distL="0" distR="0">
            <wp:extent cx="5676265" cy="3588385"/>
            <wp:effectExtent l="0" t="0" r="635" b="0"/>
            <wp:docPr id="14" name="Picture 0" descr="etscomp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tscomp13.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265" cy="3588385"/>
                    </a:xfrm>
                    <a:prstGeom prst="rect">
                      <a:avLst/>
                    </a:prstGeom>
                    <a:noFill/>
                    <a:ln>
                      <a:noFill/>
                    </a:ln>
                  </pic:spPr>
                </pic:pic>
              </a:graphicData>
            </a:graphic>
          </wp:inline>
        </w:drawing>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With international emissions trading, country </w:t>
      </w:r>
      <w:r w:rsidRPr="008D4DFC">
        <w:rPr>
          <w:i/>
          <w:lang w:val="en-US"/>
        </w:rPr>
        <w:t>i</w:t>
      </w:r>
      <w:r w:rsidRPr="008D4DFC">
        <w:rPr>
          <w:lang w:val="en-US"/>
        </w:rPr>
        <w:t xml:space="preserve">'s trading segment emissions </w:t>
      </w:r>
      <w:r w:rsidRPr="008D4DFC">
        <w:rPr>
          <w:i/>
          <w:lang w:val="en-US"/>
        </w:rPr>
        <w:t>e</w:t>
      </w:r>
      <w:r w:rsidRPr="008D4DFC">
        <w:rPr>
          <w:i/>
          <w:vertAlign w:val="subscript"/>
          <w:lang w:val="en-US"/>
        </w:rPr>
        <w:t>i,T</w:t>
      </w:r>
      <w:r w:rsidRPr="008D4DFC">
        <w:rPr>
          <w:lang w:val="en-US"/>
        </w:rPr>
        <w:t xml:space="preserve"> will in general differ from the emissions budget </w:t>
      </w:r>
      <w:r w:rsidRPr="008D4DFC">
        <w:rPr>
          <w:i/>
          <w:lang w:val="en-US"/>
        </w:rPr>
        <w:t>q</w:t>
      </w:r>
      <w:r w:rsidRPr="008D4DFC">
        <w:rPr>
          <w:i/>
          <w:vertAlign w:val="subscript"/>
          <w:lang w:val="en-US"/>
        </w:rPr>
        <w:t>i</w:t>
      </w:r>
      <w:r w:rsidRPr="008D4DFC">
        <w:rPr>
          <w:lang w:val="en-US"/>
        </w:rPr>
        <w:t xml:space="preserve"> allocated to the trading segment by country </w:t>
      </w:r>
      <w:r w:rsidRPr="008D4DFC">
        <w:rPr>
          <w:i/>
          <w:lang w:val="en-US"/>
        </w:rPr>
        <w:t>i</w:t>
      </w:r>
      <w:r w:rsidRPr="008D4DFC">
        <w:rPr>
          <w:lang w:val="en-US"/>
        </w:rPr>
        <w:t>'s emission authority.</w:t>
      </w:r>
      <w:r w:rsidRPr="008D4DFC">
        <w:rPr>
          <w:rStyle w:val="FootnoteReference"/>
          <w:lang w:val="en-US"/>
        </w:rPr>
        <w:footnoteReference w:id="6"/>
      </w:r>
      <w:r w:rsidRPr="008D4DFC">
        <w:rPr>
          <w:lang w:val="en-US"/>
        </w:rPr>
        <w:t xml:space="preserve"> The allocated emissions budget </w:t>
      </w:r>
      <w:r w:rsidRPr="008D4DFC">
        <w:rPr>
          <w:i/>
          <w:lang w:val="en-US"/>
        </w:rPr>
        <w:t>q</w:t>
      </w:r>
      <w:r w:rsidRPr="008D4DFC">
        <w:rPr>
          <w:i/>
          <w:vertAlign w:val="subscript"/>
          <w:lang w:val="en-US"/>
        </w:rPr>
        <w:t>i</w:t>
      </w:r>
      <w:r w:rsidRPr="008D4DFC">
        <w:rPr>
          <w:lang w:val="en-US"/>
        </w:rPr>
        <w:t xml:space="preserve"> for the trading segment plus emissions </w:t>
      </w:r>
      <w:r w:rsidRPr="008D4DFC">
        <w:rPr>
          <w:i/>
          <w:lang w:val="en-US"/>
        </w:rPr>
        <w:t>e</w:t>
      </w:r>
      <w:r w:rsidRPr="008D4DFC">
        <w:rPr>
          <w:i/>
          <w:vertAlign w:val="subscript"/>
          <w:lang w:val="en-US"/>
        </w:rPr>
        <w:t>i,NT</w:t>
      </w:r>
      <w:r w:rsidRPr="008D4DFC">
        <w:rPr>
          <w:lang w:val="en-US"/>
        </w:rPr>
        <w:t xml:space="preserve"> for </w:t>
      </w:r>
      <w:r w:rsidRPr="008D4DFC">
        <w:rPr>
          <w:lang w:val="en-US"/>
        </w:rPr>
        <w:lastRenderedPageBreak/>
        <w:t xml:space="preserve">the non-trading segment must add up to the national ceiling </w:t>
      </w:r>
      <w:r w:rsidRPr="008D4DFC">
        <w:rPr>
          <w:i/>
          <w:lang w:val="en-US"/>
        </w:rPr>
        <w:t>E</w:t>
      </w:r>
      <w:r w:rsidRPr="008D4DFC">
        <w:rPr>
          <w:i/>
          <w:vertAlign w:val="subscript"/>
          <w:lang w:val="en-US"/>
        </w:rPr>
        <w:t>i</w:t>
      </w:r>
      <w:r w:rsidRPr="008D4DFC">
        <w:rPr>
          <w:lang w:val="en-US"/>
        </w:rPr>
        <w:t xml:space="preserve">. After each country has set its </w:t>
      </w:r>
      <w:r w:rsidRPr="008D4DFC">
        <w:rPr>
          <w:i/>
          <w:lang w:val="en-US"/>
        </w:rPr>
        <w:t>q</w:t>
      </w:r>
      <w:r w:rsidRPr="008D4DFC">
        <w:rPr>
          <w:i/>
          <w:vertAlign w:val="subscript"/>
          <w:lang w:val="en-US"/>
        </w:rPr>
        <w:t>i</w:t>
      </w:r>
      <w:r w:rsidRPr="008D4DFC">
        <w:rPr>
          <w:lang w:val="en-US"/>
        </w:rPr>
        <w:t xml:space="preserve"> and distributed the permits among its trading segment, the polluters in the trading segments trade the permits among each other. We assume that each individual polluter is too small to have market power, and so each polluter takes the permit price </w:t>
      </w:r>
      <w:r w:rsidRPr="008D4DFC">
        <w:rPr>
          <w:i/>
          <w:lang w:val="en-US"/>
        </w:rPr>
        <w:t>P</w:t>
      </w:r>
      <w:r w:rsidRPr="008D4DFC">
        <w:rPr>
          <w:lang w:val="en-US"/>
        </w:rPr>
        <w:t xml:space="preserve"> as given. Emissions </w:t>
      </w:r>
      <w:r w:rsidRPr="008D4DFC">
        <w:rPr>
          <w:i/>
          <w:lang w:val="en-US"/>
        </w:rPr>
        <w:t>e</w:t>
      </w:r>
      <w:r w:rsidRPr="008D4DFC">
        <w:rPr>
          <w:i/>
          <w:vertAlign w:val="subscript"/>
          <w:lang w:val="en-US"/>
        </w:rPr>
        <w:t>i,T</w:t>
      </w:r>
      <w:r w:rsidRPr="008D4DFC">
        <w:rPr>
          <w:lang w:val="en-US"/>
        </w:rPr>
        <w:t xml:space="preserve"> are then determined by:</w:t>
      </w:r>
    </w:p>
    <w:p w:rsidR="00D9026F" w:rsidRPr="0014267E" w:rsidRDefault="00D9026F" w:rsidP="00884933">
      <w:pPr>
        <w:pStyle w:val="Ligning"/>
      </w:pPr>
      <w:r w:rsidRPr="0014267E">
        <w:object w:dxaOrig="1540" w:dyaOrig="440">
          <v:shape id="_x0000_i1039" type="#_x0000_t75" style="width:59.75pt;height:20.4pt" o:ole="">
            <v:imagedata r:id="rId21" o:title=""/>
          </v:shape>
          <o:OLEObject Type="Embed" ProgID="Equation.DSMT4" ShapeID="_x0000_i1039" DrawAspect="Content" ObjectID="_1514967646" r:id="rId22"/>
        </w:object>
      </w:r>
      <w:r w:rsidRPr="0014267E">
        <w:fldChar w:fldCharType="begin"/>
      </w:r>
      <w:r w:rsidRPr="0014267E">
        <w:instrText xml:space="preserve"> QUOTE </w:instrText>
      </w:r>
      <m:oMath>
        <m:func>
          <m:funcPr>
            <m:ctrlPr>
              <w:rPr>
                <w:rFonts w:ascii="Cambria Math" w:hAnsi="Cambria Math"/>
                <w:i/>
                <w:lang w:val="en-US"/>
              </w:rPr>
            </m:ctrlPr>
          </m:funcPr>
          <m:fName>
            <m:r>
              <m:rPr>
                <m:sty m:val="p"/>
              </m:rPr>
              <w:rPr>
                <w:rFonts w:ascii="Cambria Math" w:hAnsi="Cambria Math"/>
                <w:lang w:val="en-US"/>
              </w:rPr>
              <m:t>min</m:t>
            </m:r>
          </m:fName>
          <m:e>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i,T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i,nT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i,T</m:t>
                </m:r>
              </m:sub>
            </m:sSub>
            <m:r>
              <m:rPr>
                <m:sty m:val="p"/>
              </m:rPr>
              <w:rPr>
                <w:rFonts w:ascii="Cambria Math" w:hAnsi="Cambria Math"/>
                <w:lang w:val="en-US"/>
              </w:rPr>
              <m:t>)</m:t>
            </m:r>
          </m:e>
        </m:func>
      </m:oMath>
      <w:r w:rsidRPr="0014267E">
        <w:instrText xml:space="preserve"> </w:instrText>
      </w:r>
      <w:r w:rsidRPr="0014267E">
        <w:fldChar w:fldCharType="end"/>
      </w:r>
      <w:r w:rsidRPr="0014267E">
        <w:tab/>
      </w:r>
      <w:r w:rsidRPr="0014267E">
        <w:tab/>
      </w:r>
      <w:r w:rsidRPr="0014267E">
        <w:tab/>
      </w:r>
      <w:r w:rsidRPr="0014267E">
        <w:tab/>
      </w:r>
      <w:r w:rsidRPr="0014267E">
        <w:tab/>
      </w:r>
      <w:r w:rsidRPr="0014267E">
        <w:tab/>
      </w:r>
      <w:r w:rsidRPr="0014267E">
        <w:tab/>
      </w:r>
      <w:r w:rsidRPr="0014267E">
        <w:tab/>
      </w:r>
      <w:r w:rsidRPr="0014267E">
        <w:tab/>
      </w:r>
      <w:r w:rsidRPr="0014267E">
        <w:tab/>
      </w:r>
      <w:r w:rsidRPr="0014267E">
        <w:tab/>
        <w:t>(3)</w:t>
      </w:r>
    </w:p>
    <w:p w:rsidR="00D9026F" w:rsidRPr="008D4DFC" w:rsidRDefault="00D9026F" w:rsidP="00BD03CC">
      <w:pPr>
        <w:jc w:val="both"/>
        <w:rPr>
          <w:lang w:val="en-US"/>
        </w:rPr>
      </w:pPr>
      <w:r w:rsidRPr="008D4DFC">
        <w:rPr>
          <w:lang w:val="en-US"/>
        </w:rPr>
        <w:t>under the restriction:</w:t>
      </w:r>
    </w:p>
    <w:p w:rsidR="00D9026F" w:rsidRPr="00C65957" w:rsidRDefault="00D9026F" w:rsidP="00014F22">
      <w:pPr>
        <w:pStyle w:val="Ligning"/>
        <w:rPr>
          <w:szCs w:val="22"/>
        </w:rPr>
      </w:pPr>
      <w:r w:rsidRPr="00C65957">
        <w:rPr>
          <w:szCs w:val="22"/>
        </w:rPr>
        <w:object w:dxaOrig="1840" w:dyaOrig="700">
          <v:shape id="_x0000_i1042" type="#_x0000_t75" style="width:84.25pt;height:36pt" o:ole="">
            <v:imagedata r:id="rId23" o:title=""/>
          </v:shape>
          <o:OLEObject Type="Embed" ProgID="Equation.DSMT4" ShapeID="_x0000_i1042" DrawAspect="Content" ObjectID="_1514967647" r:id="rId24"/>
        </w:object>
      </w:r>
      <w:r w:rsidRPr="00C65957">
        <w:rPr>
          <w:szCs w:val="22"/>
        </w:rPr>
        <w:fldChar w:fldCharType="begin"/>
      </w:r>
      <w:r w:rsidRPr="00C65957">
        <w:rPr>
          <w:szCs w:val="22"/>
        </w:rPr>
        <w:instrText xml:space="preserve"> QUOTE </w:instrText>
      </w:r>
      <m:oMath>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T</m:t>
            </m:r>
          </m:sub>
        </m:sSub>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j=1</m:t>
            </m:r>
          </m:sub>
          <m:sup>
            <m:r>
              <m:rPr>
                <m:sty m:val="p"/>
              </m:rPr>
              <w:rPr>
                <w:rFonts w:ascii="Cambria Math" w:hAnsi="Cambria Math"/>
                <w:lang w:val="en-US"/>
              </w:rPr>
              <m:t>n</m:t>
            </m:r>
          </m:sup>
          <m:e>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j,T</m:t>
                </m:r>
              </m:sub>
            </m:sSub>
          </m:e>
        </m:nary>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j=1</m:t>
            </m:r>
          </m:sub>
          <m:sup>
            <m:r>
              <m:rPr>
                <m:sty m:val="p"/>
              </m:rPr>
              <w:rPr>
                <w:rFonts w:ascii="Cambria Math" w:hAnsi="Cambria Math"/>
                <w:lang w:val="en-US"/>
              </w:rPr>
              <m:t>n</m:t>
            </m:r>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j</m:t>
                </m:r>
              </m:sub>
            </m:sSub>
          </m:e>
        </m:nary>
      </m:oMath>
      <w:r w:rsidRPr="00C65957">
        <w:rPr>
          <w:szCs w:val="22"/>
        </w:rPr>
        <w:instrText xml:space="preserve"> </w:instrText>
      </w:r>
      <w:r w:rsidRPr="00C65957">
        <w:rPr>
          <w:szCs w:val="22"/>
        </w:rPr>
        <w:fldChar w:fldCharType="end"/>
      </w:r>
      <w:r w:rsidRPr="00C65957">
        <w:rPr>
          <w:szCs w:val="22"/>
        </w:rPr>
        <w:tab/>
      </w:r>
      <w:r w:rsidRPr="00C65957">
        <w:rPr>
          <w:szCs w:val="22"/>
        </w:rPr>
        <w:tab/>
      </w:r>
      <w:r w:rsidRPr="00C65957">
        <w:rPr>
          <w:szCs w:val="22"/>
        </w:rPr>
        <w:tab/>
      </w:r>
      <w:r w:rsidRPr="00C65957">
        <w:rPr>
          <w:szCs w:val="22"/>
        </w:rPr>
        <w:tab/>
      </w:r>
      <w:r w:rsidRPr="00C65957">
        <w:rPr>
          <w:szCs w:val="22"/>
        </w:rPr>
        <w:tab/>
      </w:r>
      <w:r w:rsidRPr="00C65957">
        <w:rPr>
          <w:szCs w:val="22"/>
        </w:rPr>
        <w:tab/>
      </w:r>
      <w:r w:rsidRPr="00C65957">
        <w:rPr>
          <w:szCs w:val="22"/>
        </w:rPr>
        <w:tab/>
      </w:r>
      <w:r w:rsidRPr="00C65957">
        <w:rPr>
          <w:szCs w:val="22"/>
        </w:rPr>
        <w:tab/>
      </w:r>
      <w:r w:rsidRPr="00C65957">
        <w:rPr>
          <w:szCs w:val="22"/>
        </w:rPr>
        <w:tab/>
      </w:r>
      <w:r w:rsidRPr="00C65957">
        <w:rPr>
          <w:szCs w:val="22"/>
        </w:rPr>
        <w:tab/>
        <w:t>(4)</w:t>
      </w:r>
    </w:p>
    <w:p w:rsidR="00D9026F" w:rsidRPr="008D4DFC" w:rsidRDefault="00D9026F" w:rsidP="00BD03CC">
      <w:pPr>
        <w:jc w:val="both"/>
        <w:rPr>
          <w:lang w:val="en-US"/>
        </w:rPr>
      </w:pPr>
      <w:r w:rsidRPr="008D4DFC">
        <w:rPr>
          <w:lang w:val="en-US"/>
        </w:rPr>
        <w:t xml:space="preserve">That is, marginal abatement costs equal the permit price, and total emissions in all trading segments equal the total amount of permits for the trading segments. Equations (3) and (4) implicitly define </w:t>
      </w:r>
      <w:r w:rsidRPr="008D4DFC">
        <w:rPr>
          <w:i/>
          <w:lang w:val="en-US"/>
        </w:rPr>
        <w:t>P</w:t>
      </w:r>
      <w:r w:rsidRPr="008D4DFC">
        <w:rPr>
          <w:lang w:val="en-US"/>
        </w:rPr>
        <w:t xml:space="preserve"> and </w:t>
      </w:r>
      <w:r w:rsidRPr="008D4DFC">
        <w:rPr>
          <w:i/>
          <w:lang w:val="en-US"/>
        </w:rPr>
        <w:t>e</w:t>
      </w:r>
      <w:r w:rsidRPr="008D4DFC">
        <w:rPr>
          <w:i/>
          <w:vertAlign w:val="subscript"/>
          <w:lang w:val="en-US"/>
        </w:rPr>
        <w:t>i,T</w:t>
      </w:r>
      <w:r w:rsidRPr="008D4DFC">
        <w:rPr>
          <w:lang w:val="en-US"/>
        </w:rPr>
        <w:t xml:space="preserve"> as function of the total emissions </w:t>
      </w:r>
      <w:r w:rsidRPr="008D4DFC">
        <w:rPr>
          <w:i/>
          <w:lang w:val="en-US"/>
        </w:rPr>
        <w:t>e</w:t>
      </w:r>
      <w:r w:rsidRPr="008D4DFC">
        <w:rPr>
          <w:i/>
          <w:vertAlign w:val="subscript"/>
          <w:lang w:val="en-US"/>
        </w:rPr>
        <w:t>T</w:t>
      </w:r>
      <w:r w:rsidRPr="008D4DFC">
        <w:rPr>
          <w:lang w:val="en-US"/>
        </w:rPr>
        <w:t xml:space="preserve"> in </w:t>
      </w:r>
      <w:r>
        <w:rPr>
          <w:lang w:val="en-US"/>
        </w:rPr>
        <w:t xml:space="preserve">the </w:t>
      </w:r>
      <w:r w:rsidRPr="008D4DFC">
        <w:rPr>
          <w:lang w:val="en-US"/>
        </w:rPr>
        <w:t>trading segment with:</w:t>
      </w:r>
    </w:p>
    <w:p w:rsidR="00D9026F" w:rsidRPr="00C65957" w:rsidRDefault="00D9026F" w:rsidP="00884933">
      <w:pPr>
        <w:pStyle w:val="Ligning"/>
        <w:rPr>
          <w:lang w:val="en-US"/>
        </w:rPr>
      </w:pPr>
      <w:r w:rsidRPr="00C65957">
        <w:rPr>
          <w:lang w:val="en-US"/>
        </w:rPr>
        <w:object w:dxaOrig="2700" w:dyaOrig="1040">
          <v:shape id="_x0000_i1045" type="#_x0000_t75" style="width:122.95pt;height:50.95pt" o:ole="">
            <v:imagedata r:id="rId25" o:title=""/>
          </v:shape>
          <o:OLEObject Type="Embed" ProgID="Equation.DSMT4" ShapeID="_x0000_i1045" DrawAspect="Content" ObjectID="_1514967648" r:id="rId26"/>
        </w:object>
      </w:r>
      <w:r w:rsidRPr="00C65957">
        <w:rPr>
          <w:lang w:val="en-US"/>
        </w:rPr>
        <w:tab/>
      </w:r>
      <w:r w:rsidRPr="00C65957">
        <w:rPr>
          <w:lang w:val="en-US"/>
        </w:rPr>
        <w:tab/>
      </w:r>
      <w:r w:rsidRPr="00C65957">
        <w:rPr>
          <w:lang w:val="en-US"/>
        </w:rPr>
        <w:tab/>
      </w:r>
      <w:r w:rsidRPr="00C65957">
        <w:rPr>
          <w:lang w:val="en-US"/>
        </w:rPr>
        <w:tab/>
      </w:r>
      <w:r w:rsidRPr="00C65957">
        <w:rPr>
          <w:lang w:val="en-US"/>
        </w:rPr>
        <w:tab/>
      </w:r>
      <w:r w:rsidRPr="00C65957">
        <w:rPr>
          <w:lang w:val="en-US"/>
        </w:rPr>
        <w:tab/>
      </w:r>
      <w:r w:rsidRPr="00C65957">
        <w:rPr>
          <w:lang w:val="en-US"/>
        </w:rPr>
        <w:tab/>
      </w:r>
      <w:r w:rsidRPr="00C65957">
        <w:rPr>
          <w:lang w:val="en-US"/>
        </w:rPr>
        <w:tab/>
      </w:r>
      <w:r w:rsidRPr="00C65957">
        <w:rPr>
          <w:lang w:val="en-US"/>
        </w:rPr>
        <w:tab/>
        <w:t>(5)</w:t>
      </w:r>
    </w:p>
    <w:p w:rsidR="00D9026F" w:rsidRPr="008D4DFC" w:rsidRDefault="00D9026F" w:rsidP="00BD03CC">
      <w:pPr>
        <w:jc w:val="both"/>
        <w:rPr>
          <w:lang w:val="en-US"/>
        </w:rPr>
      </w:pPr>
      <w:r w:rsidRPr="008D4DFC">
        <w:rPr>
          <w:lang w:val="en-US"/>
        </w:rPr>
        <w:t xml:space="preserve">Country </w:t>
      </w:r>
      <w:r w:rsidRPr="008D4DFC">
        <w:rPr>
          <w:i/>
          <w:lang w:val="en-US"/>
        </w:rPr>
        <w:t>i</w:t>
      </w:r>
      <w:r w:rsidRPr="008D4DFC">
        <w:rPr>
          <w:lang w:val="en-US"/>
        </w:rPr>
        <w:t xml:space="preserve"> now chooses </w:t>
      </w:r>
      <w:r w:rsidRPr="008D4DFC">
        <w:rPr>
          <w:i/>
          <w:lang w:val="en-US"/>
        </w:rPr>
        <w:t>q</w:t>
      </w:r>
      <w:r w:rsidRPr="008D4DFC">
        <w:rPr>
          <w:i/>
          <w:vertAlign w:val="subscript"/>
          <w:lang w:val="en-US"/>
        </w:rPr>
        <w:t>i</w:t>
      </w:r>
      <w:r w:rsidRPr="008D4DFC">
        <w:rPr>
          <w:lang w:val="en-US"/>
        </w:rPr>
        <w:t xml:space="preserve"> to minimize overall abatement costs in the trading and non-trading segments plus net expenditures on buying (selling) permits from (to) abroad:</w:t>
      </w:r>
    </w:p>
    <w:p w:rsidR="00D9026F" w:rsidRPr="00C65957" w:rsidRDefault="00D9026F" w:rsidP="00884933">
      <w:pPr>
        <w:pStyle w:val="Ligning"/>
        <w:rPr>
          <w:lang w:val="en-US"/>
        </w:rPr>
      </w:pPr>
      <w:r w:rsidRPr="00C65957">
        <w:rPr>
          <w:lang w:val="en-US"/>
        </w:rPr>
        <w:object w:dxaOrig="4840" w:dyaOrig="480">
          <v:shape id="_x0000_i1046" type="#_x0000_t75" style="width:213.3pt;height:23.75pt" o:ole="">
            <v:imagedata r:id="rId27" o:title=""/>
          </v:shape>
          <o:OLEObject Type="Embed" ProgID="Equation.DSMT4" ShapeID="_x0000_i1046" DrawAspect="Content" ObjectID="_1514967649" r:id="rId28"/>
        </w:object>
      </w:r>
      <w:r w:rsidRPr="00C65957">
        <w:rPr>
          <w:lang w:val="en-US"/>
        </w:rPr>
        <w:tab/>
      </w:r>
      <w:r w:rsidRPr="00C65957">
        <w:rPr>
          <w:lang w:val="en-US"/>
        </w:rPr>
        <w:tab/>
      </w:r>
      <w:r w:rsidRPr="00C65957">
        <w:rPr>
          <w:lang w:val="en-US"/>
        </w:rPr>
        <w:tab/>
      </w:r>
      <w:r w:rsidRPr="00C65957">
        <w:rPr>
          <w:lang w:val="en-US"/>
        </w:rPr>
        <w:tab/>
      </w:r>
      <w:r w:rsidRPr="00C65957">
        <w:rPr>
          <w:lang w:val="en-US"/>
        </w:rPr>
        <w:tab/>
      </w:r>
      <w:r w:rsidRPr="00C65957">
        <w:rPr>
          <w:lang w:val="en-US"/>
        </w:rPr>
        <w:tab/>
        <w:t>(6)</w:t>
      </w:r>
    </w:p>
    <w:p w:rsidR="00D9026F" w:rsidRPr="008D4DFC" w:rsidRDefault="00D9026F" w:rsidP="00BD03CC">
      <w:pPr>
        <w:jc w:val="both"/>
        <w:rPr>
          <w:lang w:val="en-US"/>
        </w:rPr>
      </w:pPr>
      <w:r w:rsidRPr="008D4DFC">
        <w:rPr>
          <w:lang w:val="en-US"/>
        </w:rPr>
        <w:t xml:space="preserve">Assuming an interior solution </w:t>
      </w:r>
      <w:r w:rsidRPr="008D4DFC">
        <w:rPr>
          <w:i/>
          <w:lang w:val="en-US"/>
        </w:rPr>
        <w:t>q</w:t>
      </w:r>
      <w:r w:rsidRPr="008D4DFC">
        <w:rPr>
          <w:i/>
          <w:vertAlign w:val="subscript"/>
          <w:lang w:val="en-US"/>
        </w:rPr>
        <w:t>i</w:t>
      </w:r>
      <w:r w:rsidRPr="008D4DFC">
        <w:rPr>
          <w:lang w:val="en-US"/>
        </w:rPr>
        <w:t xml:space="preserve"> </w:t>
      </w:r>
      <w:r>
        <w:rPr>
          <w:lang w:val="en-US"/>
        </w:rPr>
        <w:t>&gt; 0</w:t>
      </w:r>
      <w:r w:rsidRPr="008D4DFC">
        <w:rPr>
          <w:lang w:val="en-US"/>
        </w:rPr>
        <w:t>,</w:t>
      </w:r>
      <w:r w:rsidRPr="008D4DFC">
        <w:rPr>
          <w:rStyle w:val="FootnoteReference"/>
          <w:lang w:val="en-US"/>
        </w:rPr>
        <w:footnoteReference w:id="7"/>
      </w:r>
      <w:r w:rsidRPr="008D4DFC">
        <w:rPr>
          <w:lang w:val="en-US"/>
        </w:rPr>
        <w:t xml:space="preserve"> the first-order condition, taking (3) into account, is:</w:t>
      </w:r>
    </w:p>
    <w:p w:rsidR="00D9026F" w:rsidRPr="00C65957" w:rsidRDefault="00D9026F" w:rsidP="00884933">
      <w:pPr>
        <w:pStyle w:val="Ligning"/>
        <w:rPr>
          <w:lang w:val="en-US"/>
        </w:rPr>
      </w:pPr>
      <w:r w:rsidRPr="00C65957">
        <w:rPr>
          <w:lang w:val="en-US"/>
        </w:rPr>
        <w:object w:dxaOrig="4920" w:dyaOrig="440">
          <v:shape id="_x0000_i1047" type="#_x0000_t75" style="width:226.85pt;height:20.4pt" o:ole="">
            <v:imagedata r:id="rId29" o:title=""/>
          </v:shape>
          <o:OLEObject Type="Embed" ProgID="Equation.DSMT4" ShapeID="_x0000_i1047" DrawAspect="Content" ObjectID="_1514967650" r:id="rId30"/>
        </w:object>
      </w:r>
      <w:r w:rsidRPr="00C65957">
        <w:rPr>
          <w:lang w:val="en-US"/>
        </w:rPr>
        <w:fldChar w:fldCharType="begin"/>
      </w:r>
      <w:r w:rsidRPr="00C65957">
        <w:rPr>
          <w:lang w:val="en-US"/>
        </w:rPr>
        <w:instrText xml:space="preserve"> QUOTE </w:instrText>
      </w:r>
      <m:oMath>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C</m:t>
            </m:r>
          </m:e>
          <m:sub>
            <m:r>
              <m:rPr>
                <m:sty m:val="p"/>
              </m:rPr>
              <w:rPr>
                <w:rFonts w:ascii="Cambria Math" w:hAnsi="Cambria Math"/>
                <w:lang w:val="en-US"/>
              </w:rPr>
              <m:t>i,NT</m:t>
            </m:r>
          </m:sub>
          <m:sup>
            <m:r>
              <m:rPr>
                <m:sty m:val="p"/>
              </m:rPr>
              <w:rPr>
                <w:rFonts w:ascii="Cambria Math" w:hAnsi="Cambria Math"/>
                <w:lang w:val="en-US"/>
              </w:rPr>
              <m:t>'</m:t>
            </m:r>
          </m:sup>
        </m:sSubSup>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i,NT</m:t>
                </m:r>
              </m:sub>
            </m:sSub>
          </m:e>
        </m:d>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MR</m:t>
            </m:r>
          </m:e>
          <m:sub>
            <m:r>
              <m:rPr>
                <m:sty m:val="p"/>
              </m:rP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m:t>
                </m:r>
              </m:sub>
            </m:sSub>
          </m:e>
        </m:d>
        <m:r>
          <m:rPr>
            <m:sty m:val="p"/>
          </m:rPr>
          <w:rPr>
            <w:rFonts w:ascii="Cambria Math" w:hAnsi="Cambria Math"/>
            <w:lang w:val="en-US"/>
          </w:rPr>
          <m:t>≡P-P'</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lang w:val="en-US"/>
                  </w:rPr>
                  <m:t>i,T</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m:t>
                </m:r>
              </m:sub>
            </m:sSub>
          </m:e>
        </m:d>
      </m:oMath>
      <w:r w:rsidRPr="00C65957">
        <w:rPr>
          <w:lang w:val="en-US"/>
        </w:rPr>
        <w:instrText xml:space="preserve"> </w:instrText>
      </w:r>
      <w:r w:rsidRPr="00C65957">
        <w:rPr>
          <w:lang w:val="en-US"/>
        </w:rPr>
        <w:fldChar w:fldCharType="end"/>
      </w:r>
      <w:r w:rsidRPr="00C65957">
        <w:rPr>
          <w:lang w:val="en-US"/>
        </w:rPr>
        <w:tab/>
      </w:r>
      <w:r w:rsidRPr="00C65957">
        <w:rPr>
          <w:lang w:val="en-US"/>
        </w:rPr>
        <w:tab/>
      </w:r>
      <w:r w:rsidRPr="00C65957">
        <w:rPr>
          <w:lang w:val="en-US"/>
        </w:rPr>
        <w:tab/>
      </w:r>
      <w:r w:rsidRPr="00C65957">
        <w:rPr>
          <w:lang w:val="en-US"/>
        </w:rPr>
        <w:tab/>
      </w:r>
      <w:r w:rsidRPr="00C65957">
        <w:rPr>
          <w:lang w:val="en-US"/>
        </w:rPr>
        <w:tab/>
      </w:r>
      <w:r w:rsidRPr="00C65957">
        <w:rPr>
          <w:lang w:val="en-US"/>
        </w:rPr>
        <w:tab/>
        <w:t>(7)</w:t>
      </w:r>
    </w:p>
    <w:p w:rsidR="00D9026F" w:rsidRPr="008D4DFC" w:rsidRDefault="00D9026F" w:rsidP="00BD03CC">
      <w:pPr>
        <w:jc w:val="both"/>
        <w:rPr>
          <w:lang w:val="en-US"/>
        </w:rPr>
      </w:pPr>
      <w:r w:rsidRPr="008D4DFC">
        <w:rPr>
          <w:lang w:val="en-US"/>
        </w:rPr>
        <w:t xml:space="preserve">where </w:t>
      </w:r>
      <w:r w:rsidRPr="008D4DFC">
        <w:rPr>
          <w:i/>
          <w:lang w:val="en-US"/>
        </w:rPr>
        <w:t>P'</w:t>
      </w:r>
      <w:r w:rsidRPr="008D4DFC">
        <w:rPr>
          <w:lang w:val="en-US"/>
        </w:rPr>
        <w:t>(</w:t>
      </w:r>
      <w:r w:rsidRPr="008D4DFC">
        <w:rPr>
          <w:i/>
          <w:lang w:val="en-US"/>
        </w:rPr>
        <w:t>e</w:t>
      </w:r>
      <w:r w:rsidRPr="008D4DFC">
        <w:rPr>
          <w:i/>
          <w:vertAlign w:val="subscript"/>
          <w:lang w:val="en-US"/>
        </w:rPr>
        <w:t>T</w:t>
      </w:r>
      <w:r w:rsidRPr="008D4DFC">
        <w:rPr>
          <w:lang w:val="en-US"/>
        </w:rPr>
        <w:t xml:space="preserve">) is given by (5) and </w:t>
      </w:r>
      <w:r w:rsidRPr="008D4DFC">
        <w:rPr>
          <w:i/>
          <w:lang w:val="en-US"/>
        </w:rPr>
        <w:t>MR</w:t>
      </w:r>
      <w:r w:rsidRPr="008D4DFC">
        <w:rPr>
          <w:i/>
          <w:vertAlign w:val="subscript"/>
          <w:lang w:val="en-US"/>
        </w:rPr>
        <w:t>i</w:t>
      </w:r>
      <w:r w:rsidRPr="008D4DFC">
        <w:rPr>
          <w:lang w:val="en-US"/>
        </w:rPr>
        <w:t>(</w:t>
      </w:r>
      <w:r w:rsidRPr="008D4DFC">
        <w:rPr>
          <w:i/>
          <w:lang w:val="en-US"/>
        </w:rPr>
        <w:t>q</w:t>
      </w:r>
      <w:r w:rsidRPr="008D4DFC">
        <w:rPr>
          <w:i/>
          <w:vertAlign w:val="subscript"/>
          <w:lang w:val="en-US"/>
        </w:rPr>
        <w:t>i</w:t>
      </w:r>
      <w:r w:rsidRPr="008D4DFC">
        <w:rPr>
          <w:lang w:val="en-US"/>
        </w:rPr>
        <w:t xml:space="preserve">) is country </w:t>
      </w:r>
      <w:r w:rsidRPr="008D4DFC">
        <w:rPr>
          <w:i/>
          <w:lang w:val="en-US"/>
        </w:rPr>
        <w:t>i</w:t>
      </w:r>
      <w:r w:rsidRPr="008D4DFC">
        <w:rPr>
          <w:lang w:val="en-US"/>
        </w:rPr>
        <w:t xml:space="preserve">’s marginal revenue of allocating more permits to its trading segment. When country </w:t>
      </w:r>
      <w:r w:rsidRPr="008D4DFC">
        <w:rPr>
          <w:i/>
          <w:lang w:val="en-US"/>
        </w:rPr>
        <w:t>i</w:t>
      </w:r>
      <w:r w:rsidRPr="008D4DFC">
        <w:rPr>
          <w:lang w:val="en-US"/>
        </w:rPr>
        <w:t xml:space="preserve"> is exporting permits, its marginal revenues are below the international permit price (as for any seller with market power), because the extra permits it allocates to its trading segment depress the price at which it can sell permits. Correspondingly, when country </w:t>
      </w:r>
      <w:r w:rsidRPr="008D4DFC">
        <w:rPr>
          <w:i/>
          <w:lang w:val="en-US"/>
        </w:rPr>
        <w:t>i</w:t>
      </w:r>
      <w:r w:rsidRPr="008D4DFC">
        <w:rPr>
          <w:lang w:val="en-US"/>
        </w:rPr>
        <w:t xml:space="preserve"> is importing permits, its marginal revenues exceed the permit price.</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Figures 1 and 2 illustrate how a country gains when it joins the international emissions trading scheme. First consider the change from no international trading to competitive international trade where country </w:t>
      </w:r>
      <w:r w:rsidRPr="008D4DFC">
        <w:rPr>
          <w:i/>
          <w:lang w:val="en-US"/>
        </w:rPr>
        <w:t>i</w:t>
      </w:r>
      <w:r w:rsidRPr="008D4DFC">
        <w:rPr>
          <w:lang w:val="en-US"/>
        </w:rPr>
        <w:t xml:space="preserve"> takes the international permit price </w:t>
      </w:r>
      <w:r w:rsidRPr="008D4DFC">
        <w:rPr>
          <w:i/>
          <w:lang w:val="en-US"/>
        </w:rPr>
        <w:t>P</w:t>
      </w:r>
      <w:r w:rsidRPr="008D4DFC">
        <w:rPr>
          <w:i/>
          <w:vertAlign w:val="superscript"/>
          <w:lang w:val="en-US"/>
        </w:rPr>
        <w:t>C</w:t>
      </w:r>
      <w:r w:rsidRPr="008D4DFC">
        <w:rPr>
          <w:lang w:val="en-US"/>
        </w:rPr>
        <w:t xml:space="preserve"> as given. This is illustrated in Figure 1, where we have assumed </w:t>
      </w:r>
      <w:r w:rsidRPr="008D4DFC">
        <w:rPr>
          <w:position w:val="-12"/>
          <w:lang w:val="en-US"/>
        </w:rPr>
        <w:object w:dxaOrig="340" w:dyaOrig="380">
          <v:shape id="_x0000_i1050" type="#_x0000_t75" style="width:16.3pt;height:16.3pt" o:ole="">
            <v:imagedata r:id="rId31" o:title=""/>
          </v:shape>
          <o:OLEObject Type="Embed" ProgID="Equation.DSMT4" ShapeID="_x0000_i1050" DrawAspect="Content" ObjectID="_1514967651" r:id="rId32"/>
        </w:object>
      </w:r>
      <w:r w:rsidRPr="008D4DFC">
        <w:rPr>
          <w:lang w:val="en-US"/>
        </w:rPr>
        <w:t xml:space="preserve"> &gt; </w:t>
      </w:r>
      <w:r w:rsidRPr="008D4DFC">
        <w:rPr>
          <w:position w:val="-12"/>
          <w:lang w:val="en-US"/>
        </w:rPr>
        <w:object w:dxaOrig="520" w:dyaOrig="380">
          <v:shape id="_x0000_i1051" type="#_x0000_t75" style="width:23.75pt;height:16.3pt" o:ole="">
            <v:imagedata r:id="rId18" o:title=""/>
          </v:shape>
          <o:OLEObject Type="Embed" ProgID="Equation.DSMT4" ShapeID="_x0000_i1051" DrawAspect="Content" ObjectID="_1514967652" r:id="rId33"/>
        </w:object>
      </w:r>
      <w:r w:rsidRPr="008D4DFC">
        <w:rPr>
          <w:lang w:val="en-US"/>
        </w:rPr>
        <w:t xml:space="preserve">. The country then minimizes overall costs by setting its marginal costs in the non-trading segment equal to </w:t>
      </w:r>
      <w:r w:rsidRPr="008D4DFC">
        <w:rPr>
          <w:position w:val="-12"/>
          <w:lang w:val="en-US"/>
        </w:rPr>
        <w:object w:dxaOrig="340" w:dyaOrig="380">
          <v:shape id="_x0000_i1052" type="#_x0000_t75" style="width:16.3pt;height:16.3pt" o:ole="">
            <v:imagedata r:id="rId34" o:title=""/>
          </v:shape>
          <o:OLEObject Type="Embed" ProgID="Equation.DSMT4" ShapeID="_x0000_i1052" DrawAspect="Content" ObjectID="_1514967653" r:id="rId35"/>
        </w:object>
      </w:r>
      <w:r w:rsidRPr="008D4DFC">
        <w:rPr>
          <w:lang w:val="en-US"/>
        </w:rPr>
        <w:t xml:space="preserve">, as is clear from (7) with </w:t>
      </w:r>
      <w:r w:rsidRPr="008D4DFC">
        <w:rPr>
          <w:i/>
          <w:lang w:val="en-US"/>
        </w:rPr>
        <w:t>P'</w:t>
      </w:r>
      <w:r w:rsidRPr="008D4DFC">
        <w:rPr>
          <w:lang w:val="en-US"/>
        </w:rPr>
        <w:t xml:space="preserve"> = 0. </w:t>
      </w:r>
      <w:r>
        <w:rPr>
          <w:lang w:val="en-US"/>
        </w:rPr>
        <w:t>Thus, i</w:t>
      </w:r>
      <w:r w:rsidRPr="008D4DFC">
        <w:rPr>
          <w:lang w:val="en-US"/>
        </w:rPr>
        <w:t xml:space="preserve">t allocates </w:t>
      </w:r>
      <w:r w:rsidRPr="008D4DFC">
        <w:rPr>
          <w:position w:val="-12"/>
          <w:lang w:val="en-US"/>
        </w:rPr>
        <w:object w:dxaOrig="300" w:dyaOrig="380">
          <v:shape id="_x0000_i1053" type="#_x0000_t75" style="width:13.6pt;height:16.3pt" o:ole="">
            <v:imagedata r:id="rId36" o:title=""/>
          </v:shape>
          <o:OLEObject Type="Embed" ProgID="Equation.DSMT4" ShapeID="_x0000_i1053" DrawAspect="Content" ObjectID="_1514967654" r:id="rId37"/>
        </w:object>
      </w:r>
      <w:r w:rsidRPr="008D4DFC">
        <w:rPr>
          <w:lang w:val="en-US"/>
        </w:rPr>
        <w:fldChar w:fldCharType="begin"/>
      </w:r>
      <w:r w:rsidRPr="008D4DFC">
        <w:rPr>
          <w:lang w:val="en-US"/>
        </w:rPr>
        <w:instrText xml:space="preserve"> QUOTE </w:instrText>
      </w:r>
      <m:oMath>
        <m:sSubSup>
          <m:sSubSupPr>
            <m:ctrlPr>
              <w:rPr>
                <w:rFonts w:ascii="Cambria Math" w:hAnsi="Cambria Math"/>
                <w:i/>
                <w:lang w:val="en-US"/>
              </w:rPr>
            </m:ctrlPr>
          </m:sSubSupPr>
          <m:e>
            <m:r>
              <m:rPr>
                <m:sty m:val="p"/>
              </m:rPr>
              <w:rPr>
                <w:rFonts w:ascii="Cambria Math" w:hAnsi="Cambria Math"/>
                <w:lang w:val="en-US"/>
              </w:rPr>
              <m:t>q</m:t>
            </m:r>
          </m:e>
          <m:sub>
            <m:r>
              <m:rPr>
                <m:sty m:val="p"/>
              </m:rPr>
              <w:rPr>
                <w:rFonts w:ascii="Cambria Math" w:hAnsi="Cambria Math"/>
                <w:lang w:val="en-US"/>
              </w:rPr>
              <m:t>i</m:t>
            </m:r>
          </m:sub>
          <m:sup>
            <m:r>
              <m:rPr>
                <m:sty m:val="p"/>
              </m:rPr>
              <w:rPr>
                <w:rFonts w:ascii="Cambria Math" w:hAnsi="Cambria Math"/>
                <w:lang w:val="en-US"/>
              </w:rPr>
              <m:t>c</m:t>
            </m:r>
          </m:sup>
        </m:sSubSup>
      </m:oMath>
      <w:r w:rsidRPr="008D4DFC">
        <w:rPr>
          <w:lang w:val="en-US"/>
        </w:rPr>
        <w:instrText xml:space="preserve"> </w:instrText>
      </w:r>
      <w:r w:rsidRPr="008D4DFC">
        <w:rPr>
          <w:lang w:val="en-US"/>
        </w:rPr>
        <w:fldChar w:fldCharType="end"/>
      </w:r>
      <w:r w:rsidRPr="008D4DFC">
        <w:rPr>
          <w:lang w:val="en-US"/>
        </w:rPr>
        <w:t xml:space="preserve"> permits to its trading segment and the rest (</w:t>
      </w:r>
      <w:r w:rsidRPr="008D4DFC">
        <w:rPr>
          <w:position w:val="-12"/>
          <w:lang w:val="en-US"/>
        </w:rPr>
        <w:object w:dxaOrig="740" w:dyaOrig="380">
          <v:shape id="_x0000_i1056" type="#_x0000_t75" style="width:29.2pt;height:16.3pt" o:ole="">
            <v:imagedata r:id="rId38" o:title=""/>
          </v:shape>
          <o:OLEObject Type="Embed" ProgID="Equation.DSMT4" ShapeID="_x0000_i1056" DrawAspect="Content" ObjectID="_1514967655" r:id="rId39"/>
        </w:object>
      </w:r>
      <w:r w:rsidRPr="008D4DFC">
        <w:rPr>
          <w:lang w:val="en-US"/>
        </w:rPr>
        <w:t xml:space="preserve">) to its non-trading segment. Firms in country </w:t>
      </w:r>
      <w:r w:rsidRPr="008D4DFC">
        <w:rPr>
          <w:i/>
          <w:lang w:val="en-US"/>
        </w:rPr>
        <w:t>i</w:t>
      </w:r>
      <w:r w:rsidRPr="008D4DFC">
        <w:rPr>
          <w:lang w:val="en-US"/>
        </w:rPr>
        <w:t xml:space="preserve">’s trading segment trade permits and emit </w:t>
      </w:r>
      <w:r w:rsidRPr="008D4DFC">
        <w:rPr>
          <w:position w:val="-14"/>
          <w:lang w:val="en-US"/>
        </w:rPr>
        <w:object w:dxaOrig="340" w:dyaOrig="400">
          <v:shape id="_x0000_i1057" type="#_x0000_t75" style="width:14.95pt;height:20.4pt" o:ole="">
            <v:imagedata r:id="rId40" o:title=""/>
          </v:shape>
          <o:OLEObject Type="Embed" ProgID="Equation.DSMT4" ShapeID="_x0000_i1057" DrawAspect="Content" ObjectID="_1514967656" r:id="rId41"/>
        </w:object>
      </w:r>
      <w:r w:rsidRPr="008D4DFC">
        <w:rPr>
          <w:lang w:val="en-US"/>
        </w:rPr>
        <w:t xml:space="preserve"> themselves, which in Figure 1 is lower than </w:t>
      </w:r>
      <w:r w:rsidRPr="008D4DFC">
        <w:rPr>
          <w:position w:val="-12"/>
          <w:lang w:val="en-US"/>
        </w:rPr>
        <w:object w:dxaOrig="300" w:dyaOrig="380">
          <v:shape id="_x0000_i1058" type="#_x0000_t75" style="width:13.6pt;height:16.3pt" o:ole="">
            <v:imagedata r:id="rId36" o:title=""/>
          </v:shape>
          <o:OLEObject Type="Embed" ProgID="Equation.DSMT4" ShapeID="_x0000_i1058" DrawAspect="Content" ObjectID="_1514967657" r:id="rId42"/>
        </w:object>
      </w:r>
      <w:r w:rsidRPr="008D4DFC">
        <w:rPr>
          <w:lang w:val="en-US"/>
        </w:rPr>
        <w:t xml:space="preserve"> since </w:t>
      </w:r>
      <w:r w:rsidRPr="008D4DFC">
        <w:rPr>
          <w:position w:val="-12"/>
          <w:lang w:val="en-US"/>
        </w:rPr>
        <w:object w:dxaOrig="340" w:dyaOrig="380">
          <v:shape id="_x0000_i1059" type="#_x0000_t75" style="width:16.3pt;height:16.3pt" o:ole="">
            <v:imagedata r:id="rId43" o:title=""/>
          </v:shape>
          <o:OLEObject Type="Embed" ProgID="Equation.DSMT4" ShapeID="_x0000_i1059" DrawAspect="Content" ObjectID="_1514967658" r:id="rId44"/>
        </w:object>
      </w:r>
      <w:r w:rsidRPr="008D4DFC">
        <w:rPr>
          <w:lang w:val="en-US"/>
        </w:rPr>
        <w:t xml:space="preserve"> &gt; </w:t>
      </w:r>
      <w:r w:rsidRPr="008D4DFC">
        <w:rPr>
          <w:position w:val="-12"/>
          <w:lang w:val="en-US"/>
        </w:rPr>
        <w:object w:dxaOrig="520" w:dyaOrig="380">
          <v:shape id="_x0000_i1060" type="#_x0000_t75" style="width:23.75pt;height:16.3pt" o:ole="">
            <v:imagedata r:id="rId18" o:title=""/>
          </v:shape>
          <o:OLEObject Type="Embed" ProgID="Equation.DSMT4" ShapeID="_x0000_i1060" DrawAspect="Content" ObjectID="_1514967659" r:id="rId45"/>
        </w:object>
      </w:r>
      <w:r w:rsidRPr="008D4DFC">
        <w:rPr>
          <w:lang w:val="en-US"/>
        </w:rPr>
        <w:t xml:space="preserve">. Compared to the case without international emissions trading, country </w:t>
      </w:r>
      <w:r w:rsidRPr="008D4DFC">
        <w:rPr>
          <w:i/>
          <w:lang w:val="en-US"/>
        </w:rPr>
        <w:t>i</w:t>
      </w:r>
      <w:r w:rsidRPr="008D4DFC">
        <w:rPr>
          <w:lang w:val="en-US"/>
        </w:rPr>
        <w:t xml:space="preserve">’s total costs have decreased by the shaded triangle above the </w:t>
      </w:r>
      <w:r w:rsidRPr="008D4DFC">
        <w:rPr>
          <w:i/>
          <w:lang w:val="en-US"/>
        </w:rPr>
        <w:t>MC</w:t>
      </w:r>
      <w:r w:rsidRPr="008D4DFC">
        <w:rPr>
          <w:lang w:val="en-US"/>
        </w:rPr>
        <w:t xml:space="preserve">-curves and below the </w:t>
      </w:r>
      <w:r w:rsidRPr="008D4DFC">
        <w:rPr>
          <w:position w:val="-12"/>
          <w:lang w:val="en-US"/>
        </w:rPr>
        <w:object w:dxaOrig="340" w:dyaOrig="380">
          <v:shape id="_x0000_i1061" type="#_x0000_t75" style="width:16.3pt;height:16.3pt" o:ole="">
            <v:imagedata r:id="rId46" o:title=""/>
          </v:shape>
          <o:OLEObject Type="Embed" ProgID="Equation.DSMT4" ShapeID="_x0000_i1061" DrawAspect="Content" ObjectID="_1514967660" r:id="rId47"/>
        </w:object>
      </w:r>
      <w:r w:rsidRPr="008D4DFC">
        <w:rPr>
          <w:lang w:val="en-US"/>
        </w:rPr>
        <w:t>-line, i.e., export revenues minus increased abatement costs.</w:t>
      </w:r>
    </w:p>
    <w:p w:rsidR="00D9026F" w:rsidRPr="008D4DFC" w:rsidRDefault="00D9026F" w:rsidP="00014F22">
      <w:pPr>
        <w:spacing w:before="240" w:after="120"/>
        <w:ind w:left="902" w:hanging="902"/>
        <w:jc w:val="both"/>
        <w:rPr>
          <w:bCs/>
          <w:lang w:val="en-US"/>
        </w:rPr>
      </w:pPr>
      <w:r w:rsidRPr="008D4DFC">
        <w:rPr>
          <w:bCs/>
          <w:lang w:val="en-US"/>
        </w:rPr>
        <w:t>Figure 2: The switch from competitive trade to trade with market power</w:t>
      </w:r>
    </w:p>
    <w:p w:rsidR="00D9026F" w:rsidRPr="008D4DFC" w:rsidRDefault="00D9026F" w:rsidP="00475702">
      <w:pPr>
        <w:jc w:val="center"/>
        <w:rPr>
          <w:lang w:val="en-US"/>
        </w:rPr>
      </w:pPr>
      <w:r w:rsidRPr="008D4DFC">
        <w:rPr>
          <w:noProof/>
          <w:lang w:val="en-US"/>
        </w:rPr>
        <w:object w:dxaOrig="8806" w:dyaOrig="5626">
          <v:shape id="_x0000_i1062" type="#_x0000_t75" alt="etsmon.wmf" style="width:413.65pt;height:262.2pt" o:ole="">
            <v:imagedata r:id="rId48" o:title=""/>
          </v:shape>
          <o:OLEObject Type="Embed" ProgID="Word.Picture.8" ShapeID="_x0000_i1062" DrawAspect="Content" ObjectID="_1514967661" r:id="rId49"/>
        </w:objec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Figure 2 illustrates the switch from competitive trade to trade with market power.</w:t>
      </w:r>
      <w:r w:rsidRPr="008D4DFC">
        <w:rPr>
          <w:rStyle w:val="FootnoteReference"/>
          <w:lang w:val="en-US"/>
        </w:rPr>
        <w:footnoteReference w:id="8"/>
      </w:r>
      <w:r w:rsidRPr="008D4DFC">
        <w:rPr>
          <w:lang w:val="en-US"/>
        </w:rPr>
        <w:t xml:space="preserve"> As before, the international permit price will be </w:t>
      </w:r>
      <w:r w:rsidRPr="008D4DFC">
        <w:rPr>
          <w:position w:val="-12"/>
          <w:lang w:val="en-US"/>
        </w:rPr>
        <w:object w:dxaOrig="340" w:dyaOrig="380">
          <v:shape id="_x0000_i1063" type="#_x0000_t75" style="width:16.3pt;height:16.3pt" o:ole="">
            <v:imagedata r:id="rId50" o:title=""/>
          </v:shape>
          <o:OLEObject Type="Embed" ProgID="Equation.DSMT4" ShapeID="_x0000_i1063" DrawAspect="Content" ObjectID="_1514967662" r:id="rId51"/>
        </w:object>
      </w:r>
      <w:r w:rsidRPr="008D4DFC">
        <w:rPr>
          <w:lang w:val="en-US"/>
        </w:rPr>
        <w:t xml:space="preserve"> if the country issues </w:t>
      </w:r>
      <w:r w:rsidRPr="008D4DFC">
        <w:rPr>
          <w:position w:val="-12"/>
          <w:lang w:val="en-US"/>
        </w:rPr>
        <w:object w:dxaOrig="300" w:dyaOrig="380">
          <v:shape id="_x0000_i1064" type="#_x0000_t75" style="width:13.6pt;height:16.3pt" o:ole="">
            <v:imagedata r:id="rId36" o:title=""/>
          </v:shape>
          <o:OLEObject Type="Embed" ProgID="Equation.DSMT4" ShapeID="_x0000_i1064" DrawAspect="Content" ObjectID="_1514967663" r:id="rId52"/>
        </w:object>
      </w:r>
      <w:r w:rsidRPr="008D4DFC">
        <w:rPr>
          <w:lang w:val="en-US"/>
        </w:rPr>
        <w:t xml:space="preserve"> permits to its trading segment. However, the permit price is now a decreasing function </w:t>
      </w:r>
      <w:r w:rsidRPr="008D4DFC">
        <w:rPr>
          <w:i/>
          <w:lang w:val="en-US"/>
        </w:rPr>
        <w:t>P</w:t>
      </w:r>
      <w:r w:rsidRPr="008D4DFC">
        <w:rPr>
          <w:lang w:val="en-US"/>
        </w:rPr>
        <w:t>(</w:t>
      </w:r>
      <w:r w:rsidRPr="008D4DFC">
        <w:rPr>
          <w:i/>
          <w:lang w:val="en-US"/>
        </w:rPr>
        <w:t>q</w:t>
      </w:r>
      <w:r w:rsidRPr="008D4DFC">
        <w:rPr>
          <w:i/>
          <w:vertAlign w:val="subscript"/>
          <w:lang w:val="en-US"/>
        </w:rPr>
        <w:t>i</w:t>
      </w:r>
      <w:r w:rsidRPr="008D4DFC">
        <w:rPr>
          <w:lang w:val="en-US"/>
        </w:rPr>
        <w:t xml:space="preserve">) of </w:t>
      </w:r>
      <w:r w:rsidRPr="008D4DFC">
        <w:rPr>
          <w:i/>
          <w:lang w:val="en-US"/>
        </w:rPr>
        <w:t>q</w:t>
      </w:r>
      <w:r w:rsidRPr="008D4DFC">
        <w:rPr>
          <w:i/>
          <w:vertAlign w:val="subscript"/>
          <w:lang w:val="en-US"/>
        </w:rPr>
        <w:t>i</w:t>
      </w:r>
      <w:r w:rsidRPr="008D4DFC">
        <w:rPr>
          <w:lang w:val="en-US"/>
        </w:rPr>
        <w:t xml:space="preserve">. Country </w:t>
      </w:r>
      <w:r w:rsidRPr="008D4DFC">
        <w:rPr>
          <w:i/>
          <w:lang w:val="en-US"/>
        </w:rPr>
        <w:t>i</w:t>
      </w:r>
      <w:r w:rsidRPr="008D4DFC">
        <w:rPr>
          <w:lang w:val="en-US"/>
        </w:rPr>
        <w:t xml:space="preserve">’s </w:t>
      </w:r>
      <w:r w:rsidRPr="008D4DFC">
        <w:rPr>
          <w:lang w:val="en-US"/>
        </w:rPr>
        <w:lastRenderedPageBreak/>
        <w:t xml:space="preserve">marginal revenue </w:t>
      </w:r>
      <w:r w:rsidRPr="008D4DFC">
        <w:rPr>
          <w:i/>
          <w:lang w:val="en-US"/>
        </w:rPr>
        <w:t>MR</w:t>
      </w:r>
      <w:r w:rsidRPr="008D4DFC">
        <w:rPr>
          <w:i/>
          <w:vertAlign w:val="subscript"/>
          <w:lang w:val="en-US"/>
        </w:rPr>
        <w:t>i</w:t>
      </w:r>
      <w:r w:rsidRPr="008D4DFC">
        <w:rPr>
          <w:lang w:val="en-US"/>
        </w:rPr>
        <w:t>(</w:t>
      </w:r>
      <w:r w:rsidRPr="008D4DFC">
        <w:rPr>
          <w:i/>
          <w:lang w:val="en-US"/>
        </w:rPr>
        <w:t>q</w:t>
      </w:r>
      <w:r w:rsidRPr="008D4DFC">
        <w:rPr>
          <w:i/>
          <w:vertAlign w:val="subscript"/>
          <w:lang w:val="en-US"/>
        </w:rPr>
        <w:t>i</w:t>
      </w:r>
      <w:r w:rsidRPr="008D4DFC">
        <w:rPr>
          <w:lang w:val="en-US"/>
        </w:rPr>
        <w:t xml:space="preserve">) curve is located below (above) </w:t>
      </w:r>
      <w:r w:rsidRPr="008D4DFC">
        <w:rPr>
          <w:i/>
          <w:lang w:val="en-US"/>
        </w:rPr>
        <w:t>P</w:t>
      </w:r>
      <w:r w:rsidRPr="008D4DFC">
        <w:rPr>
          <w:lang w:val="en-US"/>
        </w:rPr>
        <w:t>(</w:t>
      </w:r>
      <w:r w:rsidRPr="008D4DFC">
        <w:rPr>
          <w:i/>
          <w:lang w:val="en-US"/>
        </w:rPr>
        <w:t>q</w:t>
      </w:r>
      <w:r w:rsidRPr="008D4DFC">
        <w:rPr>
          <w:i/>
          <w:vertAlign w:val="subscript"/>
          <w:lang w:val="en-US"/>
        </w:rPr>
        <w:t>i</w:t>
      </w:r>
      <w:r w:rsidRPr="008D4DFC">
        <w:rPr>
          <w:lang w:val="en-US"/>
        </w:rPr>
        <w:t xml:space="preserve">) when it is exporting (importing) permits. We know from (7) that country </w:t>
      </w:r>
      <w:r w:rsidRPr="008D4DFC">
        <w:rPr>
          <w:i/>
          <w:lang w:val="en-US"/>
        </w:rPr>
        <w:t>i</w:t>
      </w:r>
      <w:r w:rsidRPr="008D4DFC">
        <w:rPr>
          <w:lang w:val="en-US"/>
        </w:rPr>
        <w:t xml:space="preserve"> will set its marginal abatement costs in the non-trading segment equal to the marginal revenues from selling permits (or buying less permits) in the international market. It thus reduces its permit allocation to the trading segment to </w:t>
      </w:r>
      <w:r w:rsidRPr="008D4DFC">
        <w:rPr>
          <w:position w:val="-12"/>
          <w:lang w:val="en-US"/>
        </w:rPr>
        <w:object w:dxaOrig="360" w:dyaOrig="380">
          <v:shape id="_x0000_i1065" type="#_x0000_t75" style="width:15.6pt;height:16.3pt" o:ole="">
            <v:imagedata r:id="rId53" o:title=""/>
          </v:shape>
          <o:OLEObject Type="Embed" ProgID="Equation.DSMT4" ShapeID="_x0000_i1065" DrawAspect="Content" ObjectID="_1514967664" r:id="rId54"/>
        </w:object>
      </w:r>
      <w:r w:rsidRPr="008D4DFC">
        <w:rPr>
          <w:lang w:val="en-US"/>
        </w:rPr>
        <w:t xml:space="preserve">, driving the permit price up to </w:t>
      </w:r>
      <w:r w:rsidRPr="008D4DFC">
        <w:rPr>
          <w:position w:val="-12"/>
          <w:lang w:val="en-US"/>
        </w:rPr>
        <w:object w:dxaOrig="380" w:dyaOrig="380">
          <v:shape id="_x0000_i1066" type="#_x0000_t75" style="width:16.3pt;height:16.3pt" o:ole="">
            <v:imagedata r:id="rId55" o:title=""/>
          </v:shape>
          <o:OLEObject Type="Embed" ProgID="Equation.DSMT4" ShapeID="_x0000_i1066" DrawAspect="Content" ObjectID="_1514967665" r:id="rId56"/>
        </w:object>
      </w:r>
      <w:r w:rsidRPr="008D4DFC">
        <w:rPr>
          <w:lang w:val="en-US"/>
        </w:rPr>
        <w:t xml:space="preserve"> in Figure 2. The trading segment will now emit </w:t>
      </w:r>
      <w:r w:rsidRPr="008D4DFC">
        <w:rPr>
          <w:position w:val="-14"/>
          <w:lang w:val="en-US"/>
        </w:rPr>
        <w:object w:dxaOrig="340" w:dyaOrig="400">
          <v:shape id="_x0000_i1067" type="#_x0000_t75" style="width:14.95pt;height:20.4pt" o:ole="">
            <v:imagedata r:id="rId57" o:title=""/>
          </v:shape>
          <o:OLEObject Type="Embed" ProgID="Equation.DSMT4" ShapeID="_x0000_i1067" DrawAspect="Content" ObjectID="_1514967666" r:id="rId58"/>
        </w:object>
      </w:r>
      <w:r w:rsidRPr="008D4DFC">
        <w:rPr>
          <w:lang w:val="en-US"/>
        </w:rPr>
        <w:t>, whereas the non-trading segment increases its emissions to (</w:t>
      </w:r>
      <w:r w:rsidRPr="008D4DFC">
        <w:rPr>
          <w:i/>
          <w:lang w:val="en-US"/>
        </w:rPr>
        <w:t>E</w:t>
      </w:r>
      <w:r w:rsidRPr="008D4DFC">
        <w:rPr>
          <w:i/>
          <w:vertAlign w:val="subscript"/>
          <w:lang w:val="en-US"/>
        </w:rPr>
        <w:t xml:space="preserve">i </w:t>
      </w:r>
      <w:r w:rsidRPr="008D4DFC">
        <w:rPr>
          <w:lang w:val="en-US"/>
        </w:rPr>
        <w:t xml:space="preserve">– </w:t>
      </w:r>
      <w:r w:rsidRPr="008D4DFC">
        <w:rPr>
          <w:position w:val="-12"/>
          <w:lang w:val="en-US"/>
        </w:rPr>
        <w:object w:dxaOrig="360" w:dyaOrig="380">
          <v:shape id="_x0000_i1068" type="#_x0000_t75" style="width:15.6pt;height:16.3pt" o:ole="">
            <v:imagedata r:id="rId53" o:title=""/>
          </v:shape>
          <o:OLEObject Type="Embed" ProgID="Equation.DSMT4" ShapeID="_x0000_i1068" DrawAspect="Content" ObjectID="_1514967667" r:id="rId59"/>
        </w:object>
      </w:r>
      <w:r w:rsidRPr="008D4DFC">
        <w:rPr>
          <w:lang w:val="en-US"/>
        </w:rPr>
        <w:t xml:space="preserve">). The cost reduction compared to competitive behavior is the difference between the light-shaded quadrangle and the dark-shaded triangle. The quadrangle represents the gain from selling permits at a higher price. The triangle represents the efficiency loss from the domestic distortion of letting </w:t>
      </w:r>
      <w:r w:rsidRPr="008D4DFC">
        <w:rPr>
          <w:i/>
          <w:lang w:val="en-US"/>
        </w:rPr>
        <w:t>MC</w:t>
      </w:r>
      <w:r w:rsidRPr="008D4DFC">
        <w:rPr>
          <w:i/>
          <w:vertAlign w:val="subscript"/>
          <w:lang w:val="en-US"/>
        </w:rPr>
        <w:t>i,NT</w:t>
      </w:r>
      <w:r w:rsidRPr="008D4DFC">
        <w:rPr>
          <w:lang w:val="en-US"/>
        </w:rPr>
        <w:t xml:space="preserve"> deviate from the permit price.</w:t>
      </w:r>
      <w:r w:rsidRPr="008D4DFC">
        <w:rPr>
          <w:rStyle w:val="FootnoteReference"/>
          <w:lang w:val="en-US"/>
        </w:rPr>
        <w:footnoteReference w:id="9"/>
      </w:r>
      <w:r w:rsidRPr="008D4DFC">
        <w:rPr>
          <w:lang w:val="en-US"/>
        </w:rPr>
        <w:t xml:space="preserve"> </w:t>
      </w:r>
    </w:p>
    <w:p w:rsidR="00D9026F" w:rsidRDefault="00D9026F" w:rsidP="00BD03CC">
      <w:pPr>
        <w:jc w:val="both"/>
        <w:rPr>
          <w:lang w:val="en-US"/>
        </w:rPr>
      </w:pPr>
    </w:p>
    <w:p w:rsidR="00D9026F" w:rsidRDefault="00D9026F" w:rsidP="00BD03CC">
      <w:pPr>
        <w:jc w:val="both"/>
        <w:rPr>
          <w:lang w:val="en-US"/>
        </w:rPr>
      </w:pPr>
      <w:r>
        <w:rPr>
          <w:lang w:val="en-US"/>
        </w:rPr>
        <w:t>A country’s market power, i.e. its ability to influence the permit price, depends on its ability to let its marginal cost in the non-trading sector deviate from the permit price. It is clear from (7) that a country’s market power is increasing in its net trading position (the absolute value of (</w:t>
      </w:r>
      <w:r w:rsidRPr="000D54B5">
        <w:rPr>
          <w:i/>
          <w:lang w:val="en-US"/>
        </w:rPr>
        <w:t>e</w:t>
      </w:r>
      <w:r w:rsidRPr="000D54B5">
        <w:rPr>
          <w:i/>
          <w:vertAlign w:val="subscript"/>
          <w:lang w:val="en-US"/>
        </w:rPr>
        <w:t>i,t</w:t>
      </w:r>
      <w:r>
        <w:rPr>
          <w:lang w:val="en-US"/>
        </w:rPr>
        <w:t xml:space="preserve"> – </w:t>
      </w:r>
      <w:r w:rsidRPr="000D54B5">
        <w:rPr>
          <w:i/>
          <w:lang w:val="en-US"/>
        </w:rPr>
        <w:t>q</w:t>
      </w:r>
      <w:r w:rsidRPr="000D54B5">
        <w:rPr>
          <w:i/>
          <w:vertAlign w:val="subscript"/>
          <w:lang w:val="en-US"/>
        </w:rPr>
        <w:t>i</w:t>
      </w:r>
      <w:r>
        <w:rPr>
          <w:lang w:val="en-US"/>
        </w:rPr>
        <w:t>)). Thus</w:t>
      </w:r>
      <w:r w:rsidRPr="008D4DFC">
        <w:rPr>
          <w:lang w:val="en-US"/>
        </w:rPr>
        <w:t xml:space="preserve"> we should expect larger countries to have stronger impacts on the permit price than smaller countries. A large country would typically have a larger volume of net trade and therefore a larger benefit from a permit price change.</w:t>
      </w:r>
    </w:p>
    <w:p w:rsidR="00D9026F" w:rsidRDefault="00D9026F" w:rsidP="00BD03CC">
      <w:pPr>
        <w:jc w:val="both"/>
        <w:rPr>
          <w:lang w:val="en-US"/>
        </w:rPr>
      </w:pPr>
    </w:p>
    <w:p w:rsidR="00D9026F" w:rsidRDefault="00D9026F" w:rsidP="00BD03CC">
      <w:pPr>
        <w:jc w:val="both"/>
        <w:rPr>
          <w:lang w:val="en-US"/>
        </w:rPr>
      </w:pPr>
      <w:r>
        <w:rPr>
          <w:lang w:val="en-US"/>
        </w:rPr>
        <w:t>However, countries cannot choose their trading positions independently of each other. By the market clearing condition (4), one country’s permit exports are another country’s import. Taking this interdependence into account, we can show that a</w:t>
      </w:r>
      <w:r w:rsidRPr="008D4DFC">
        <w:rPr>
          <w:lang w:val="en-US"/>
        </w:rPr>
        <w:t xml:space="preserve"> country’s </w:t>
      </w:r>
      <w:r>
        <w:rPr>
          <w:lang w:val="en-US"/>
        </w:rPr>
        <w:t>market power</w:t>
      </w:r>
      <w:r w:rsidRPr="008D4DFC">
        <w:rPr>
          <w:lang w:val="en-US"/>
        </w:rPr>
        <w:t xml:space="preserve"> depends on the slope of its marginal abatement cost curve for the non-trading segment. Consider the marginal cost curve for the non-trading segment,</w:t>
      </w:r>
      <w:r w:rsidRPr="008D4DFC">
        <w:rPr>
          <w:i/>
          <w:lang w:val="en-US"/>
        </w:rPr>
        <w:t xml:space="preserve"> MC</w:t>
      </w:r>
      <w:r w:rsidRPr="008D4DFC">
        <w:rPr>
          <w:i/>
          <w:vertAlign w:val="subscript"/>
          <w:lang w:val="en-US"/>
        </w:rPr>
        <w:t>i,NT</w:t>
      </w:r>
      <w:r w:rsidRPr="008D4DFC">
        <w:rPr>
          <w:lang w:val="en-US"/>
        </w:rPr>
        <w:t xml:space="preserve">, in Figure 2. This curve is rather flat. Suppose that country </w:t>
      </w:r>
      <w:r w:rsidRPr="008D4DFC">
        <w:rPr>
          <w:i/>
          <w:lang w:val="en-US"/>
        </w:rPr>
        <w:t>i</w:t>
      </w:r>
      <w:r w:rsidRPr="008D4DFC">
        <w:rPr>
          <w:lang w:val="en-US"/>
        </w:rPr>
        <w:t xml:space="preserve"> had a much steeper </w:t>
      </w:r>
      <w:r w:rsidRPr="008D4DFC">
        <w:rPr>
          <w:i/>
          <w:lang w:val="en-US"/>
        </w:rPr>
        <w:t>MC</w:t>
      </w:r>
      <w:r w:rsidRPr="008D4DFC">
        <w:rPr>
          <w:i/>
          <w:vertAlign w:val="subscript"/>
          <w:lang w:val="en-US"/>
        </w:rPr>
        <w:t>i,NT</w:t>
      </w:r>
      <w:r w:rsidRPr="008D4DFC">
        <w:rPr>
          <w:lang w:val="en-US"/>
        </w:rPr>
        <w:t xml:space="preserve"> curve which likewise intersects the </w:t>
      </w:r>
      <w:r w:rsidRPr="008D4DFC">
        <w:rPr>
          <w:i/>
          <w:lang w:val="en-US"/>
        </w:rPr>
        <w:t>P</w:t>
      </w:r>
      <w:r w:rsidRPr="008D4DFC">
        <w:rPr>
          <w:lang w:val="en-US"/>
        </w:rPr>
        <w:t>(</w:t>
      </w:r>
      <w:r w:rsidRPr="008D4DFC">
        <w:rPr>
          <w:i/>
          <w:lang w:val="en-US"/>
        </w:rPr>
        <w:t>q</w:t>
      </w:r>
      <w:r w:rsidRPr="008D4DFC">
        <w:rPr>
          <w:i/>
          <w:vertAlign w:val="subscript"/>
          <w:lang w:val="en-US"/>
        </w:rPr>
        <w:t>i</w:t>
      </w:r>
      <w:r w:rsidRPr="008D4DFC">
        <w:rPr>
          <w:lang w:val="en-US"/>
        </w:rPr>
        <w:t xml:space="preserve">) curve at </w:t>
      </w:r>
      <w:r w:rsidRPr="008D4DFC">
        <w:rPr>
          <w:position w:val="-12"/>
          <w:lang w:val="en-US"/>
        </w:rPr>
        <w:object w:dxaOrig="300" w:dyaOrig="380">
          <v:shape id="_x0000_i1069" type="#_x0000_t75" style="width:13.6pt;height:16.3pt" o:ole="">
            <v:imagedata r:id="rId36" o:title=""/>
          </v:shape>
          <o:OLEObject Type="Embed" ProgID="Equation.DSMT4" ShapeID="_x0000_i1069" DrawAspect="Content" ObjectID="_1514967668" r:id="rId60"/>
        </w:object>
      </w:r>
      <w:r w:rsidRPr="008D4DFC">
        <w:rPr>
          <w:lang w:val="en-US"/>
        </w:rPr>
        <w:t xml:space="preserve">. The country would still issue </w:t>
      </w:r>
      <w:r w:rsidRPr="008D4DFC">
        <w:rPr>
          <w:position w:val="-12"/>
          <w:lang w:val="en-US"/>
        </w:rPr>
        <w:object w:dxaOrig="300" w:dyaOrig="380">
          <v:shape id="_x0000_i1070" type="#_x0000_t75" style="width:13.6pt;height:16.3pt" o:ole="">
            <v:imagedata r:id="rId36" o:title=""/>
          </v:shape>
          <o:OLEObject Type="Embed" ProgID="Equation.DSMT4" ShapeID="_x0000_i1070" DrawAspect="Content" ObjectID="_1514967669" r:id="rId61"/>
        </w:object>
      </w:r>
      <w:r w:rsidRPr="008D4DFC">
        <w:rPr>
          <w:lang w:val="en-US"/>
        </w:rPr>
        <w:t xml:space="preserve"> permits to the trading segment if it took the permit price </w:t>
      </w:r>
      <w:r w:rsidRPr="008D4DFC">
        <w:rPr>
          <w:position w:val="-12"/>
          <w:lang w:val="en-US"/>
        </w:rPr>
        <w:object w:dxaOrig="340" w:dyaOrig="380">
          <v:shape id="_x0000_i1071" type="#_x0000_t75" style="width:16.3pt;height:16.3pt" o:ole="">
            <v:imagedata r:id="rId62" o:title=""/>
          </v:shape>
          <o:OLEObject Type="Embed" ProgID="Equation.DSMT4" ShapeID="_x0000_i1071" DrawAspect="Content" ObjectID="_1514967670" r:id="rId63"/>
        </w:object>
      </w:r>
      <w:r w:rsidRPr="008D4DFC">
        <w:rPr>
          <w:lang w:val="en-US"/>
        </w:rPr>
        <w:t xml:space="preserve"> as given. However, its domestic efficiency loss (i.e., the shaded triangle) from reducing the number of permits to the trading segment to </w:t>
      </w:r>
      <w:r w:rsidRPr="008D4DFC">
        <w:rPr>
          <w:position w:val="-12"/>
          <w:lang w:val="en-US"/>
        </w:rPr>
        <w:object w:dxaOrig="360" w:dyaOrig="380">
          <v:shape id="_x0000_i1072" type="#_x0000_t75" style="width:15.6pt;height:16.3pt" o:ole="">
            <v:imagedata r:id="rId53" o:title=""/>
          </v:shape>
          <o:OLEObject Type="Embed" ProgID="Equation.DSMT4" ShapeID="_x0000_i1072" DrawAspect="Content" ObjectID="_1514967671" r:id="rId64"/>
        </w:object>
      </w:r>
      <w:r w:rsidRPr="008D4DFC">
        <w:rPr>
          <w:lang w:val="en-US"/>
        </w:rPr>
        <w:t xml:space="preserve"> would now be larger. Thus, the country would go less far in reducing the number of permits in order to drive up the permit price, and so the dark-shaded quadrangle would decrease. </w:t>
      </w:r>
      <w:r>
        <w:rPr>
          <w:lang w:val="en-US"/>
        </w:rPr>
        <w:t>Thus, t</w:t>
      </w:r>
      <w:r w:rsidRPr="008D4DFC">
        <w:rPr>
          <w:lang w:val="en-US"/>
        </w:rPr>
        <w:t xml:space="preserve">he </w:t>
      </w:r>
      <w:r w:rsidRPr="008D4DFC">
        <w:rPr>
          <w:lang w:val="en-US"/>
        </w:rPr>
        <w:lastRenderedPageBreak/>
        <w:t>flatter a country’s marginal abatement cost curve in the non-trading segment is, the stronger is the incentive to manipulate the permit price.</w:t>
      </w:r>
      <w:r w:rsidRPr="008D4DFC">
        <w:rPr>
          <w:rStyle w:val="FootnoteReference"/>
          <w:lang w:val="en-US"/>
        </w:rPr>
        <w:footnoteReference w:id="10"/>
      </w:r>
    </w:p>
    <w:p w:rsidR="00D9026F" w:rsidRPr="008D4DFC" w:rsidRDefault="00D9026F" w:rsidP="00BD03CC">
      <w:pPr>
        <w:jc w:val="both"/>
        <w:rPr>
          <w:lang w:val="en-US"/>
        </w:rPr>
      </w:pPr>
    </w:p>
    <w:p w:rsidR="00D9026F" w:rsidRDefault="00D9026F" w:rsidP="00BD03CC">
      <w:pPr>
        <w:jc w:val="both"/>
        <w:rPr>
          <w:lang w:val="en-US"/>
        </w:rPr>
      </w:pPr>
      <w:r>
        <w:rPr>
          <w:lang w:val="en-US"/>
        </w:rPr>
        <w:t>This implies that</w:t>
      </w:r>
      <w:r w:rsidRPr="008D4DFC">
        <w:rPr>
          <w:lang w:val="en-US"/>
        </w:rPr>
        <w:t xml:space="preserve"> we should expect exporters to have more strategic power than importers, given that marginal abatement costs are strictly convex.</w:t>
      </w:r>
      <w:r w:rsidRPr="008D4DFC">
        <w:rPr>
          <w:rStyle w:val="FootnoteReference"/>
          <w:lang w:val="en-US"/>
        </w:rPr>
        <w:footnoteReference w:id="11"/>
      </w:r>
      <w:r w:rsidRPr="008D4DFC">
        <w:rPr>
          <w:lang w:val="en-US"/>
        </w:rPr>
        <w:t xml:space="preserve"> That is, the permit price will tend to be above the competitive or cost-effective permit price as long as sectoral coverage is partial. Formally, we can state: </w:t>
      </w:r>
    </w:p>
    <w:p w:rsidR="00D9026F" w:rsidRPr="008D4DFC" w:rsidRDefault="00D9026F" w:rsidP="00BD03CC">
      <w:pPr>
        <w:jc w:val="both"/>
        <w:rPr>
          <w:lang w:val="en-US"/>
        </w:rPr>
      </w:pPr>
    </w:p>
    <w:p w:rsidR="00D9026F" w:rsidRPr="008D4DFC" w:rsidRDefault="00D9026F" w:rsidP="00BD03CC">
      <w:pPr>
        <w:jc w:val="both"/>
        <w:rPr>
          <w:bCs/>
          <w:lang w:val="en-US"/>
        </w:rPr>
      </w:pPr>
      <w:r w:rsidRPr="008D4DFC">
        <w:rPr>
          <w:bCs/>
          <w:u w:val="single"/>
          <w:lang w:val="en-US"/>
        </w:rPr>
        <w:t>Proposition</w:t>
      </w:r>
      <w:r>
        <w:rPr>
          <w:bCs/>
          <w:u w:val="single"/>
          <w:lang w:val="en-US"/>
        </w:rPr>
        <w:t xml:space="preserve"> 1</w:t>
      </w:r>
      <w:r w:rsidRPr="008D4DFC">
        <w:rPr>
          <w:bCs/>
          <w:u w:val="single"/>
          <w:lang w:val="en-US"/>
        </w:rPr>
        <w:t>:</w:t>
      </w:r>
    </w:p>
    <w:p w:rsidR="00D9026F" w:rsidRPr="008D4DFC" w:rsidRDefault="00D9026F" w:rsidP="00BD03CC">
      <w:pPr>
        <w:jc w:val="both"/>
        <w:rPr>
          <w:lang w:val="en-US"/>
        </w:rPr>
      </w:pPr>
      <w:r w:rsidRPr="008D4DFC">
        <w:rPr>
          <w:i/>
          <w:lang w:val="en-US"/>
        </w:rPr>
        <w:t xml:space="preserve">Consider n countries with different national emissions targets, having a common trading scheme that covers a subset of all sectors. Assume that countries freely decide on their permit allocation, and play Nash in the allocation game. Assume also that marginal abatement cost curves in the non-trading sectors are </w:t>
      </w:r>
      <w:r>
        <w:rPr>
          <w:i/>
          <w:lang w:val="en-US"/>
        </w:rPr>
        <w:t xml:space="preserve">strictly </w:t>
      </w:r>
      <w:r w:rsidRPr="008D4DFC">
        <w:rPr>
          <w:i/>
          <w:lang w:val="en-US"/>
        </w:rPr>
        <w:t>convex and identical across countries. Then the emissions price in the trading scheme will be above the cost-effective emissions price level.</w:t>
      </w:r>
    </w:p>
    <w:p w:rsidR="00D9026F" w:rsidRPr="008D4DFC" w:rsidRDefault="00D9026F" w:rsidP="00BD03CC">
      <w:pPr>
        <w:jc w:val="both"/>
        <w:rPr>
          <w:color w:val="FF0000"/>
          <w:lang w:val="en-US"/>
        </w:rPr>
      </w:pPr>
    </w:p>
    <w:p w:rsidR="00D9026F" w:rsidRPr="008D4DFC" w:rsidRDefault="00D9026F" w:rsidP="00BD03CC">
      <w:pPr>
        <w:jc w:val="both"/>
        <w:rPr>
          <w:u w:val="single"/>
          <w:lang w:val="en-US"/>
        </w:rPr>
      </w:pPr>
      <w:r w:rsidRPr="008D4DFC">
        <w:rPr>
          <w:u w:val="single"/>
          <w:lang w:val="en-US"/>
        </w:rPr>
        <w:t xml:space="preserve">Proof: </w:t>
      </w:r>
      <w:r>
        <w:rPr>
          <w:u w:val="single"/>
          <w:lang w:val="en-US"/>
        </w:rPr>
        <w:t>See Appendix A.</w:t>
      </w:r>
    </w:p>
    <w:p w:rsidR="00D9026F" w:rsidRPr="008D4DFC" w:rsidRDefault="00D9026F" w:rsidP="00BD03CC">
      <w:pPr>
        <w:jc w:val="both"/>
        <w:rPr>
          <w:lang w:val="en-US"/>
        </w:rPr>
      </w:pPr>
    </w:p>
    <w:p w:rsidR="00D9026F" w:rsidRPr="008D4DFC" w:rsidRDefault="00D9026F" w:rsidP="003616FF">
      <w:pPr>
        <w:jc w:val="both"/>
        <w:rPr>
          <w:lang w:val="en-US"/>
        </w:rPr>
      </w:pPr>
      <w:r>
        <w:rPr>
          <w:lang w:val="en-US"/>
        </w:rPr>
        <w:t xml:space="preserve">In other words, the proposition states that when we expand the sectoral coverage of an ETS, we should expect the emissions price to decline, as we gradually move towards the cost-effective price level (i.e., the price level under complete coverage). </w:t>
      </w:r>
      <w:r w:rsidRPr="008D4DFC">
        <w:rPr>
          <w:lang w:val="en-US"/>
        </w:rPr>
        <w:t>Figure 3 illustrates the proposition for a trading scheme between two countries, with country 1 being the net exporter and country 2 the net importer.</w:t>
      </w:r>
      <w:r>
        <w:rPr>
          <w:lang w:val="en-US"/>
        </w:rPr>
        <w:t xml:space="preserve"> </w:t>
      </w:r>
      <w:r w:rsidRPr="008D4DFC">
        <w:rPr>
          <w:lang w:val="en-US"/>
        </w:rPr>
        <w:t xml:space="preserve">Country 1 (2) has a national emission ceiling of </w:t>
      </w:r>
      <w:r w:rsidRPr="008D4DFC">
        <w:rPr>
          <w:i/>
          <w:lang w:val="en-US"/>
        </w:rPr>
        <w:t>O</w:t>
      </w:r>
      <w:r w:rsidRPr="008D4DFC">
        <w:rPr>
          <w:vertAlign w:val="subscript"/>
          <w:lang w:val="en-US"/>
        </w:rPr>
        <w:t>1</w:t>
      </w:r>
      <w:r w:rsidRPr="008D4DFC">
        <w:rPr>
          <w:i/>
          <w:lang w:val="en-US"/>
        </w:rPr>
        <w:t>E</w:t>
      </w:r>
      <w:r w:rsidRPr="008D4DFC">
        <w:rPr>
          <w:lang w:val="en-US"/>
        </w:rPr>
        <w:t xml:space="preserve"> (</w:t>
      </w:r>
      <w:r w:rsidRPr="008D4DFC">
        <w:rPr>
          <w:i/>
          <w:lang w:val="en-US"/>
        </w:rPr>
        <w:t>O</w:t>
      </w:r>
      <w:r w:rsidRPr="008D4DFC">
        <w:rPr>
          <w:vertAlign w:val="subscript"/>
          <w:lang w:val="en-US"/>
        </w:rPr>
        <w:t>2</w:t>
      </w:r>
      <w:r w:rsidRPr="008D4DFC">
        <w:rPr>
          <w:i/>
          <w:lang w:val="en-US"/>
        </w:rPr>
        <w:t>E</w:t>
      </w:r>
      <w:r w:rsidRPr="008D4DFC">
        <w:rPr>
          <w:lang w:val="en-US"/>
        </w:rPr>
        <w:t xml:space="preserve">). Country 1 (2)’s emissions in the trading sector </w:t>
      </w:r>
      <w:r w:rsidRPr="008D4DFC">
        <w:rPr>
          <w:i/>
          <w:lang w:val="en-US"/>
        </w:rPr>
        <w:t>e</w:t>
      </w:r>
      <w:r w:rsidRPr="008D4DFC">
        <w:rPr>
          <w:vertAlign w:val="subscript"/>
          <w:lang w:val="en-US"/>
        </w:rPr>
        <w:t>1</w:t>
      </w:r>
      <w:r w:rsidRPr="008D4DFC">
        <w:rPr>
          <w:i/>
          <w:vertAlign w:val="subscript"/>
          <w:lang w:val="en-US"/>
        </w:rPr>
        <w:t>,T</w:t>
      </w:r>
      <w:r w:rsidRPr="008D4DFC">
        <w:rPr>
          <w:lang w:val="en-US"/>
        </w:rPr>
        <w:t xml:space="preserve"> (</w:t>
      </w:r>
      <w:r w:rsidRPr="008D4DFC">
        <w:rPr>
          <w:i/>
          <w:lang w:val="en-US"/>
        </w:rPr>
        <w:t>e</w:t>
      </w:r>
      <w:r w:rsidRPr="008D4DFC">
        <w:rPr>
          <w:vertAlign w:val="subscript"/>
          <w:lang w:val="en-US"/>
        </w:rPr>
        <w:t>2</w:t>
      </w:r>
      <w:r w:rsidRPr="008D4DFC">
        <w:rPr>
          <w:i/>
          <w:vertAlign w:val="subscript"/>
          <w:lang w:val="en-US"/>
        </w:rPr>
        <w:t>,T</w:t>
      </w:r>
      <w:r w:rsidRPr="008D4DFC">
        <w:rPr>
          <w:lang w:val="en-US"/>
        </w:rPr>
        <w:t xml:space="preserve">) are measured from left to right starting from </w:t>
      </w:r>
      <w:r w:rsidRPr="008D4DFC">
        <w:rPr>
          <w:i/>
          <w:lang w:val="en-US"/>
        </w:rPr>
        <w:t>O</w:t>
      </w:r>
      <w:r w:rsidRPr="008D4DFC">
        <w:rPr>
          <w:vertAlign w:val="subscript"/>
          <w:lang w:val="en-US"/>
        </w:rPr>
        <w:t>1</w:t>
      </w:r>
      <w:r w:rsidRPr="008D4DFC">
        <w:rPr>
          <w:lang w:val="en-US"/>
        </w:rPr>
        <w:t xml:space="preserve"> (</w:t>
      </w:r>
      <w:r w:rsidRPr="008D4DFC">
        <w:rPr>
          <w:i/>
          <w:lang w:val="en-US"/>
        </w:rPr>
        <w:t>O</w:t>
      </w:r>
      <w:r w:rsidRPr="008D4DFC">
        <w:rPr>
          <w:vertAlign w:val="subscript"/>
          <w:lang w:val="en-US"/>
        </w:rPr>
        <w:t>2</w:t>
      </w:r>
      <w:r w:rsidRPr="008D4DFC">
        <w:rPr>
          <w:lang w:val="en-US"/>
        </w:rPr>
        <w:t xml:space="preserve">). Country 1 (2)’s marginal abatement costs in the trading segment are given by </w:t>
      </w:r>
      <w:r w:rsidRPr="008D4DFC">
        <w:rPr>
          <w:i/>
          <w:lang w:val="en-US"/>
        </w:rPr>
        <w:t>MC</w:t>
      </w:r>
      <w:r w:rsidRPr="008D4DFC">
        <w:rPr>
          <w:vertAlign w:val="subscript"/>
          <w:lang w:val="en-US"/>
        </w:rPr>
        <w:t>1</w:t>
      </w:r>
      <w:r w:rsidRPr="008D4DFC">
        <w:rPr>
          <w:i/>
          <w:vertAlign w:val="subscript"/>
          <w:lang w:val="en-US"/>
        </w:rPr>
        <w:t>,T</w:t>
      </w:r>
      <w:r w:rsidRPr="008D4DFC">
        <w:rPr>
          <w:lang w:val="en-US"/>
        </w:rPr>
        <w:t xml:space="preserve"> (</w:t>
      </w:r>
      <w:r w:rsidRPr="008D4DFC">
        <w:rPr>
          <w:i/>
          <w:lang w:val="en-US"/>
        </w:rPr>
        <w:t>MC</w:t>
      </w:r>
      <w:r w:rsidRPr="008D4DFC">
        <w:rPr>
          <w:vertAlign w:val="subscript"/>
          <w:lang w:val="en-US"/>
        </w:rPr>
        <w:t>2</w:t>
      </w:r>
      <w:r w:rsidRPr="008D4DFC">
        <w:rPr>
          <w:i/>
          <w:vertAlign w:val="subscript"/>
          <w:lang w:val="en-US"/>
        </w:rPr>
        <w:t>,T</w:t>
      </w:r>
      <w:r w:rsidRPr="008D4DFC">
        <w:rPr>
          <w:lang w:val="en-US"/>
        </w:rPr>
        <w:t xml:space="preserve">). Country </w:t>
      </w:r>
      <w:r w:rsidRPr="008D4DFC">
        <w:rPr>
          <w:i/>
          <w:lang w:val="en-US"/>
        </w:rPr>
        <w:t>i</w:t>
      </w:r>
      <w:r w:rsidRPr="008D4DFC">
        <w:rPr>
          <w:lang w:val="en-US"/>
        </w:rPr>
        <w:t>’s (</w:t>
      </w:r>
      <w:r w:rsidRPr="008D4DFC">
        <w:rPr>
          <w:i/>
          <w:lang w:val="en-US"/>
        </w:rPr>
        <w:t>i</w:t>
      </w:r>
      <w:r w:rsidRPr="008D4DFC">
        <w:rPr>
          <w:lang w:val="en-US"/>
        </w:rPr>
        <w:t xml:space="preserve"> = 1,2) emissions in the non-trading sector </w:t>
      </w:r>
      <w:r w:rsidRPr="008D4DFC">
        <w:rPr>
          <w:i/>
          <w:lang w:val="en-US"/>
        </w:rPr>
        <w:t>e</w:t>
      </w:r>
      <w:r w:rsidRPr="008D4DFC">
        <w:rPr>
          <w:i/>
          <w:vertAlign w:val="subscript"/>
          <w:lang w:val="en-US"/>
        </w:rPr>
        <w:t>i,NT</w:t>
      </w:r>
      <w:r w:rsidRPr="008D4DFC">
        <w:rPr>
          <w:lang w:val="en-US"/>
        </w:rPr>
        <w:t xml:space="preserve"> are measured from right to left starting from </w:t>
      </w:r>
      <w:r w:rsidRPr="008D4DFC">
        <w:rPr>
          <w:i/>
          <w:lang w:val="en-US"/>
        </w:rPr>
        <w:t>E</w:t>
      </w:r>
      <w:r w:rsidRPr="008D4DFC">
        <w:rPr>
          <w:lang w:val="en-US"/>
        </w:rPr>
        <w:t xml:space="preserve">. Both countries have the same marginal abatement cost curves in the non-trading segment (as represented by </w:t>
      </w:r>
      <w:r w:rsidRPr="008D4DFC">
        <w:rPr>
          <w:i/>
          <w:lang w:val="en-US"/>
        </w:rPr>
        <w:t>MC</w:t>
      </w:r>
      <w:r w:rsidRPr="008D4DFC">
        <w:rPr>
          <w:i/>
          <w:vertAlign w:val="subscript"/>
          <w:lang w:val="en-US"/>
        </w:rPr>
        <w:t>i,NT</w:t>
      </w:r>
      <w:r w:rsidRPr="008D4DFC">
        <w:rPr>
          <w:lang w:val="en-US"/>
        </w:rPr>
        <w:t xml:space="preserve"> in Figure 3).</w:t>
      </w:r>
    </w:p>
    <w:p w:rsidR="00D9026F" w:rsidRPr="00014F22" w:rsidRDefault="00D9026F" w:rsidP="00014F22">
      <w:pPr>
        <w:spacing w:before="240" w:after="120"/>
        <w:ind w:left="902" w:hanging="902"/>
        <w:jc w:val="both"/>
        <w:rPr>
          <w:bCs/>
          <w:lang w:val="en-US"/>
        </w:rPr>
      </w:pPr>
      <w:r>
        <w:rPr>
          <w:bCs/>
          <w:lang w:val="en-US"/>
        </w:rPr>
        <w:br w:type="page"/>
      </w:r>
      <w:r w:rsidRPr="00014F22">
        <w:rPr>
          <w:bCs/>
          <w:lang w:val="en-US"/>
        </w:rPr>
        <w:lastRenderedPageBreak/>
        <w:t xml:space="preserve">Figure 3: The effects of a strictly convex </w:t>
      </w:r>
      <w:r w:rsidRPr="008D4DFC">
        <w:rPr>
          <w:i/>
          <w:lang w:val="en-US"/>
        </w:rPr>
        <w:t>MC</w:t>
      </w:r>
      <w:r w:rsidRPr="008D4DFC">
        <w:rPr>
          <w:i/>
          <w:vertAlign w:val="subscript"/>
          <w:lang w:val="en-US"/>
        </w:rPr>
        <w:t>i,NT</w:t>
      </w:r>
      <w:r w:rsidRPr="008D4DFC">
        <w:rPr>
          <w:lang w:val="en-US"/>
        </w:rPr>
        <w:t xml:space="preserve"> </w:t>
      </w:r>
      <w:r w:rsidRPr="00014F22">
        <w:rPr>
          <w:bCs/>
          <w:lang w:val="en-US"/>
        </w:rPr>
        <w:t>curve</w:t>
      </w:r>
    </w:p>
    <w:p w:rsidR="00D9026F" w:rsidRPr="008D4DFC" w:rsidRDefault="0083505D" w:rsidP="0037221F">
      <w:pPr>
        <w:jc w:val="center"/>
        <w:rPr>
          <w:lang w:val="en-US"/>
        </w:rPr>
      </w:pPr>
      <w:r>
        <w:rPr>
          <w:noProof/>
          <w:lang w:val="en-GB" w:eastAsia="en-GB"/>
        </w:rPr>
        <w:drawing>
          <wp:inline distT="0" distB="0" distL="0" distR="0">
            <wp:extent cx="5106670" cy="3234690"/>
            <wp:effectExtent l="0" t="0" r="0" b="3810"/>
            <wp:docPr id="49" name="Picture 1" descr="convfi3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fi3k.w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06670" cy="3234690"/>
                    </a:xfrm>
                    <a:prstGeom prst="rect">
                      <a:avLst/>
                    </a:prstGeom>
                    <a:noFill/>
                    <a:ln>
                      <a:noFill/>
                    </a:ln>
                  </pic:spPr>
                </pic:pic>
              </a:graphicData>
            </a:graphic>
          </wp:inline>
        </w:drawing>
      </w:r>
    </w:p>
    <w:p w:rsidR="00D9026F" w:rsidRPr="008D4DFC" w:rsidRDefault="00D9026F" w:rsidP="00BD03CC">
      <w:pPr>
        <w:jc w:val="both"/>
        <w:rPr>
          <w:lang w:val="en-US"/>
        </w:rPr>
      </w:pPr>
    </w:p>
    <w:p w:rsidR="00D9026F" w:rsidRPr="008D4DFC" w:rsidRDefault="00D9026F" w:rsidP="0037221F">
      <w:pPr>
        <w:jc w:val="both"/>
        <w:rPr>
          <w:lang w:val="en-US"/>
        </w:rPr>
      </w:pPr>
      <w:r w:rsidRPr="008D4DFC">
        <w:rPr>
          <w:lang w:val="en-US"/>
        </w:rPr>
        <w:t xml:space="preserve">In the cost-effective outcome, all marginal abatement costs are equal to each other at </w:t>
      </w:r>
      <w:r w:rsidRPr="008D4DFC">
        <w:rPr>
          <w:i/>
          <w:lang w:val="en-US"/>
        </w:rPr>
        <w:t>P</w:t>
      </w:r>
      <w:r w:rsidRPr="008D4DFC">
        <w:rPr>
          <w:i/>
          <w:vertAlign w:val="superscript"/>
          <w:lang w:val="en-US"/>
        </w:rPr>
        <w:t>C</w:t>
      </w:r>
      <w:r w:rsidRPr="008D4DFC">
        <w:rPr>
          <w:lang w:val="en-US"/>
        </w:rPr>
        <w:t xml:space="preserve"> with emissions </w:t>
      </w:r>
      <w:r w:rsidRPr="008D4DFC">
        <w:rPr>
          <w:i/>
          <w:lang w:val="en-US"/>
        </w:rPr>
        <w:t>e</w:t>
      </w:r>
      <w:r w:rsidRPr="008D4DFC">
        <w:rPr>
          <w:i/>
          <w:vertAlign w:val="superscript"/>
          <w:lang w:val="en-US"/>
        </w:rPr>
        <w:t>C</w:t>
      </w:r>
      <w:r w:rsidRPr="008D4DFC">
        <w:rPr>
          <w:i/>
          <w:iCs/>
          <w:lang w:val="en-US"/>
        </w:rPr>
        <w:t>E</w:t>
      </w:r>
      <w:r w:rsidRPr="008D4DFC">
        <w:rPr>
          <w:lang w:val="en-US"/>
        </w:rPr>
        <w:t xml:space="preserve"> for the non-trading segment in each country.</w:t>
      </w:r>
      <w:r>
        <w:rPr>
          <w:lang w:val="en-US"/>
        </w:rPr>
        <w:t xml:space="preserve"> </w:t>
      </w:r>
      <w:r w:rsidRPr="008D4DFC">
        <w:rPr>
          <w:lang w:val="en-US"/>
        </w:rPr>
        <w:t>In the non-cooperative equilibrium, it follows from (7) that:</w:t>
      </w:r>
    </w:p>
    <w:p w:rsidR="00D9026F" w:rsidRPr="00C65957" w:rsidRDefault="00D9026F" w:rsidP="00884933">
      <w:pPr>
        <w:pStyle w:val="Ligning"/>
        <w:rPr>
          <w:lang w:val="en-US"/>
        </w:rPr>
      </w:pPr>
      <w:r w:rsidRPr="00C65957">
        <w:rPr>
          <w:lang w:val="en-US"/>
        </w:rPr>
        <w:object w:dxaOrig="5740" w:dyaOrig="440">
          <v:shape id="_x0000_i1074" type="#_x0000_t75" style="width:283.9pt;height:20.4pt" o:ole="">
            <v:imagedata r:id="rId66" o:title=""/>
          </v:shape>
          <o:OLEObject Type="Embed" ProgID="Equation.DSMT4" ShapeID="_x0000_i1074" DrawAspect="Content" ObjectID="_1514967672" r:id="rId67"/>
        </w:object>
      </w:r>
      <w:r w:rsidRPr="00C65957">
        <w:rPr>
          <w:lang w:val="en-US"/>
        </w:rPr>
        <w:tab/>
      </w:r>
      <w:r w:rsidRPr="00C65957">
        <w:rPr>
          <w:lang w:val="en-US"/>
        </w:rPr>
        <w:tab/>
      </w:r>
      <w:r w:rsidRPr="00C65957">
        <w:rPr>
          <w:lang w:val="en-US"/>
        </w:rPr>
        <w:tab/>
      </w:r>
      <w:r w:rsidRPr="00C65957">
        <w:rPr>
          <w:lang w:val="en-US"/>
        </w:rPr>
        <w:tab/>
        <w:t>(8)</w:t>
      </w:r>
    </w:p>
    <w:p w:rsidR="00D9026F" w:rsidRPr="008D4DFC" w:rsidRDefault="00D9026F" w:rsidP="0037221F">
      <w:pPr>
        <w:jc w:val="both"/>
        <w:rPr>
          <w:lang w:val="en-US"/>
        </w:rPr>
      </w:pPr>
      <w:r w:rsidRPr="008D4DFC">
        <w:rPr>
          <w:lang w:val="en-US"/>
        </w:rPr>
        <w:t xml:space="preserve">The second and third term in equation </w:t>
      </w:r>
      <w:r>
        <w:rPr>
          <w:lang w:val="en-US"/>
        </w:rPr>
        <w:t>(8)</w:t>
      </w:r>
      <w:r w:rsidRPr="008D4DFC">
        <w:rPr>
          <w:lang w:val="en-US"/>
        </w:rPr>
        <w:t xml:space="preserve"> represent country 1 and 2’s marginal benefits of letting their marginal abatement costs in the non-trading segment deviate from the international permit price. The marginal benefits consist of a favorable price change for the internationally traded amount of permits. These marginal benefits are always equal for both countries, because country 1’s exports are country 2’s imports. The first and fourth term in e</w:t>
      </w:r>
      <w:r>
        <w:rPr>
          <w:lang w:val="en-US"/>
        </w:rPr>
        <w:t>q</w:t>
      </w:r>
      <w:r w:rsidRPr="008D4DFC">
        <w:rPr>
          <w:lang w:val="en-US"/>
        </w:rPr>
        <w:t xml:space="preserve">uation </w:t>
      </w:r>
      <w:r>
        <w:rPr>
          <w:lang w:val="en-US"/>
        </w:rPr>
        <w:t>(8)</w:t>
      </w:r>
      <w:r w:rsidRPr="008D4DFC">
        <w:rPr>
          <w:lang w:val="en-US"/>
        </w:rPr>
        <w:t xml:space="preserve"> are country 1 and 2’s marginal costs of the domestic distortion from letting marginal abatement cost in the non-trading segment deviate from </w:t>
      </w:r>
      <w:r w:rsidRPr="008D4DFC">
        <w:rPr>
          <w:i/>
          <w:lang w:val="en-US"/>
        </w:rPr>
        <w:t>P</w:t>
      </w:r>
      <w:r w:rsidRPr="008D4DFC">
        <w:rPr>
          <w:lang w:val="en-US"/>
        </w:rPr>
        <w:t>. In equilibrium these should also equal each other.</w:t>
      </w:r>
    </w:p>
    <w:p w:rsidR="00D9026F" w:rsidRPr="008D4DFC" w:rsidRDefault="00D9026F" w:rsidP="00BD03CC">
      <w:pPr>
        <w:jc w:val="both"/>
        <w:rPr>
          <w:lang w:val="en-US"/>
        </w:rPr>
      </w:pPr>
    </w:p>
    <w:p w:rsidR="00D9026F" w:rsidRDefault="00D9026F" w:rsidP="0006659A">
      <w:pPr>
        <w:jc w:val="both"/>
        <w:rPr>
          <w:lang w:val="en-US"/>
        </w:rPr>
      </w:pPr>
      <w:r w:rsidRPr="008D4DFC">
        <w:rPr>
          <w:lang w:val="en-US"/>
        </w:rPr>
        <w:t>Now let us examine whether the cost-effective price</w:t>
      </w:r>
      <w:r w:rsidRPr="008D4DFC">
        <w:rPr>
          <w:i/>
          <w:lang w:val="en-US"/>
        </w:rPr>
        <w:t xml:space="preserve"> P</w:t>
      </w:r>
      <w:r w:rsidRPr="008D4DFC">
        <w:rPr>
          <w:i/>
          <w:vertAlign w:val="superscript"/>
          <w:lang w:val="en-US"/>
        </w:rPr>
        <w:t>C</w:t>
      </w:r>
      <w:r w:rsidRPr="008D4DFC">
        <w:rPr>
          <w:lang w:val="en-US"/>
        </w:rPr>
        <w:t xml:space="preserve"> in Figure 3 could also be the equilibrium permit price in equation </w:t>
      </w:r>
      <w:r>
        <w:rPr>
          <w:lang w:val="en-US"/>
        </w:rPr>
        <w:t>(8)</w:t>
      </w:r>
      <w:r w:rsidRPr="008D4DFC">
        <w:rPr>
          <w:lang w:val="en-US"/>
        </w:rPr>
        <w:t xml:space="preserve">. Buyer country 2 tries to decrease the permit price by allocating more permits than </w:t>
      </w:r>
      <w:r w:rsidRPr="008D4DFC">
        <w:rPr>
          <w:i/>
          <w:lang w:val="en-US"/>
        </w:rPr>
        <w:t>O</w:t>
      </w:r>
      <w:r w:rsidRPr="008D4DFC">
        <w:rPr>
          <w:vertAlign w:val="subscript"/>
          <w:lang w:val="en-US"/>
        </w:rPr>
        <w:t>2</w:t>
      </w:r>
      <w:r w:rsidRPr="008D4DFC">
        <w:rPr>
          <w:i/>
          <w:lang w:val="en-US"/>
        </w:rPr>
        <w:t>e</w:t>
      </w:r>
      <w:r w:rsidRPr="008D4DFC">
        <w:rPr>
          <w:i/>
          <w:vertAlign w:val="superscript"/>
          <w:lang w:val="en-US"/>
        </w:rPr>
        <w:t xml:space="preserve">C </w:t>
      </w:r>
      <w:r w:rsidRPr="008D4DFC">
        <w:rPr>
          <w:lang w:val="en-US"/>
        </w:rPr>
        <w:t xml:space="preserve">to its trading segment and less than </w:t>
      </w:r>
      <w:r w:rsidRPr="008D4DFC">
        <w:rPr>
          <w:i/>
          <w:lang w:val="en-US"/>
        </w:rPr>
        <w:t>e</w:t>
      </w:r>
      <w:r w:rsidRPr="008D4DFC">
        <w:rPr>
          <w:i/>
          <w:vertAlign w:val="superscript"/>
          <w:lang w:val="en-US"/>
        </w:rPr>
        <w:t>C</w:t>
      </w:r>
      <w:r w:rsidRPr="008D4DFC">
        <w:rPr>
          <w:i/>
          <w:lang w:val="en-US"/>
        </w:rPr>
        <w:t>E</w:t>
      </w:r>
      <w:r w:rsidRPr="008D4DFC">
        <w:rPr>
          <w:lang w:val="en-US"/>
        </w:rPr>
        <w:t xml:space="preserve"> emissions to its non-trading segment. Let us assume that country 2 allocates </w:t>
      </w:r>
      <w:r w:rsidRPr="008D4DFC">
        <w:rPr>
          <w:i/>
          <w:lang w:val="en-US"/>
        </w:rPr>
        <w:t>O</w:t>
      </w:r>
      <w:r w:rsidRPr="008D4DFC">
        <w:rPr>
          <w:vertAlign w:val="subscript"/>
          <w:lang w:val="en-US"/>
        </w:rPr>
        <w:t>2</w:t>
      </w:r>
      <w:r w:rsidRPr="008D4DFC">
        <w:rPr>
          <w:i/>
          <w:lang w:val="en-US"/>
        </w:rPr>
        <w:t>q</w:t>
      </w:r>
      <w:r w:rsidRPr="008D4DFC">
        <w:rPr>
          <w:vertAlign w:val="subscript"/>
          <w:lang w:val="en-US"/>
        </w:rPr>
        <w:t>2</w:t>
      </w:r>
      <w:r w:rsidRPr="008D4DFC">
        <w:rPr>
          <w:lang w:val="en-US"/>
        </w:rPr>
        <w:t xml:space="preserve"> to its trading segment and </w:t>
      </w:r>
      <w:r w:rsidRPr="008D4DFC">
        <w:rPr>
          <w:i/>
          <w:lang w:val="en-US"/>
        </w:rPr>
        <w:lastRenderedPageBreak/>
        <w:t>q</w:t>
      </w:r>
      <w:r w:rsidRPr="008D4DFC">
        <w:rPr>
          <w:vertAlign w:val="subscript"/>
          <w:lang w:val="en-US"/>
        </w:rPr>
        <w:t>2</w:t>
      </w:r>
      <w:r w:rsidRPr="008D4DFC">
        <w:rPr>
          <w:i/>
          <w:lang w:val="en-US"/>
        </w:rPr>
        <w:t>E</w:t>
      </w:r>
      <w:r w:rsidRPr="008D4DFC">
        <w:rPr>
          <w:lang w:val="en-US"/>
        </w:rPr>
        <w:t xml:space="preserve"> to its non-trading segment. Then to keep the permit price at</w:t>
      </w:r>
      <w:r w:rsidRPr="008D4DFC">
        <w:rPr>
          <w:i/>
          <w:lang w:val="en-US"/>
        </w:rPr>
        <w:t xml:space="preserve"> P</w:t>
      </w:r>
      <w:r w:rsidRPr="008D4DFC">
        <w:rPr>
          <w:i/>
          <w:vertAlign w:val="superscript"/>
          <w:lang w:val="en-US"/>
        </w:rPr>
        <w:t>C</w:t>
      </w:r>
      <w:r w:rsidRPr="008D4DFC">
        <w:rPr>
          <w:lang w:val="en-US"/>
        </w:rPr>
        <w:t xml:space="preserve">, country 1 would have to allocate </w:t>
      </w:r>
      <w:r w:rsidRPr="008D4DFC">
        <w:rPr>
          <w:position w:val="-10"/>
          <w:lang w:val="en-US"/>
        </w:rPr>
        <w:object w:dxaOrig="480" w:dyaOrig="340">
          <v:shape id="_x0000_i1075" type="#_x0000_t75" style="width:23.75pt;height:16.3pt" o:ole="">
            <v:imagedata r:id="rId68" o:title=""/>
          </v:shape>
          <o:OLEObject Type="Embed" ProgID="Equation.DSMT4" ShapeID="_x0000_i1075" DrawAspect="Content" ObjectID="_1514967673" r:id="rId69"/>
        </w:object>
      </w:r>
      <w:r w:rsidRPr="008D4DFC">
        <w:rPr>
          <w:lang w:val="en-US"/>
        </w:rPr>
        <w:t xml:space="preserve">to its trading segment and </w:t>
      </w:r>
      <w:r w:rsidRPr="008D4DFC">
        <w:rPr>
          <w:position w:val="-10"/>
          <w:lang w:val="en-US"/>
        </w:rPr>
        <w:object w:dxaOrig="440" w:dyaOrig="340">
          <v:shape id="_x0000_i1076" type="#_x0000_t75" style="width:20.4pt;height:16.3pt" o:ole="">
            <v:imagedata r:id="rId70" o:title=""/>
          </v:shape>
          <o:OLEObject Type="Embed" ProgID="Equation.DSMT4" ShapeID="_x0000_i1076" DrawAspect="Content" ObjectID="_1514967674" r:id="rId71"/>
        </w:object>
      </w:r>
      <w:r w:rsidRPr="008D4DFC">
        <w:rPr>
          <w:lang w:val="en-US"/>
        </w:rPr>
        <w:t xml:space="preserve">to its non-trading segment. This is because the distance </w:t>
      </w:r>
      <w:r w:rsidRPr="008D4DFC">
        <w:rPr>
          <w:position w:val="-10"/>
          <w:lang w:val="en-US"/>
        </w:rPr>
        <w:object w:dxaOrig="480" w:dyaOrig="360">
          <v:shape id="_x0000_i1077" type="#_x0000_t75" style="width:23.75pt;height:17pt" o:ole="">
            <v:imagedata r:id="rId72" o:title=""/>
          </v:shape>
          <o:OLEObject Type="Embed" ProgID="Equation.DSMT4" ShapeID="_x0000_i1077" DrawAspect="Content" ObjectID="_1514967675" r:id="rId73"/>
        </w:object>
      </w:r>
      <w:r w:rsidRPr="008D4DFC">
        <w:rPr>
          <w:position w:val="-10"/>
          <w:lang w:val="en-US"/>
        </w:rPr>
        <w:t xml:space="preserve"> </w:t>
      </w:r>
      <w:r w:rsidRPr="008D4DFC">
        <w:rPr>
          <w:lang w:val="en-US"/>
        </w:rPr>
        <w:t xml:space="preserve">equals </w:t>
      </w:r>
      <w:r w:rsidRPr="008D4DFC">
        <w:rPr>
          <w:position w:val="-10"/>
          <w:lang w:val="en-US"/>
        </w:rPr>
        <w:object w:dxaOrig="520" w:dyaOrig="360">
          <v:shape id="_x0000_i1078" type="#_x0000_t75" style="width:23.75pt;height:17pt" o:ole="">
            <v:imagedata r:id="rId74" o:title=""/>
          </v:shape>
          <o:OLEObject Type="Embed" ProgID="Equation.DSMT4" ShapeID="_x0000_i1078" DrawAspect="Content" ObjectID="_1514967676" r:id="rId75"/>
        </w:object>
      </w:r>
      <w:r w:rsidRPr="008D4DFC">
        <w:rPr>
          <w:lang w:val="en-US"/>
        </w:rPr>
        <w:t xml:space="preserve">, so that the total amount allocated to the non-trading segment (and thereby the total amount allocated to the trading segment) remains the same. However, the gap between the permit price </w:t>
      </w:r>
      <w:r w:rsidRPr="008D4DFC">
        <w:rPr>
          <w:i/>
          <w:lang w:val="en-US"/>
        </w:rPr>
        <w:t>P</w:t>
      </w:r>
      <w:r w:rsidRPr="008D4DFC">
        <w:rPr>
          <w:i/>
          <w:vertAlign w:val="superscript"/>
          <w:lang w:val="en-US"/>
        </w:rPr>
        <w:t>C</w:t>
      </w:r>
      <w:r w:rsidRPr="008D4DFC">
        <w:rPr>
          <w:lang w:val="en-US"/>
        </w:rPr>
        <w:t xml:space="preserve"> and the marginal abatement cost </w:t>
      </w:r>
      <w:r w:rsidRPr="008D4DFC">
        <w:rPr>
          <w:i/>
          <w:lang w:val="en-US"/>
        </w:rPr>
        <w:t>MC</w:t>
      </w:r>
      <w:r w:rsidRPr="008D4DFC">
        <w:rPr>
          <w:i/>
          <w:vertAlign w:val="subscript"/>
          <w:lang w:val="en-US"/>
        </w:rPr>
        <w:t>i,NT</w:t>
      </w:r>
      <w:r w:rsidRPr="008D4DFC">
        <w:rPr>
          <w:lang w:val="en-US"/>
        </w:rPr>
        <w:t xml:space="preserve"> is now much smaller for country 1 than for country 2,</w:t>
      </w:r>
      <w:r w:rsidRPr="008D4DFC">
        <w:rPr>
          <w:rStyle w:val="FootnoteReference"/>
          <w:lang w:val="en-US"/>
        </w:rPr>
        <w:footnoteReference w:id="12"/>
      </w:r>
      <w:r w:rsidRPr="008D4DFC">
        <w:rPr>
          <w:lang w:val="en-US"/>
        </w:rPr>
        <w:t xml:space="preserve"> because the </w:t>
      </w:r>
      <w:r w:rsidRPr="008D4DFC">
        <w:rPr>
          <w:i/>
          <w:lang w:val="en-US"/>
        </w:rPr>
        <w:t>MC</w:t>
      </w:r>
      <w:r w:rsidRPr="008D4DFC">
        <w:rPr>
          <w:i/>
          <w:vertAlign w:val="subscript"/>
          <w:lang w:val="en-US"/>
        </w:rPr>
        <w:t>i,NT</w:t>
      </w:r>
      <w:r w:rsidRPr="008D4DFC">
        <w:rPr>
          <w:lang w:val="en-US"/>
        </w:rPr>
        <w:t xml:space="preserve"> curve is strictly convex. According to equation </w:t>
      </w:r>
      <w:r>
        <w:rPr>
          <w:lang w:val="en-US"/>
        </w:rPr>
        <w:t>(8)</w:t>
      </w:r>
      <w:r w:rsidRPr="008D4DFC">
        <w:rPr>
          <w:lang w:val="en-US"/>
        </w:rPr>
        <w:t xml:space="preserve">, these gaps, which measure the marginal costs of the domestic distortion, should be the same for both countries. Hence, exporting country 1 will further restrict its permit allocation to the trading segment. In equilibrium, country 1 allocates </w:t>
      </w:r>
      <w:r w:rsidRPr="008D4DFC">
        <w:rPr>
          <w:i/>
          <w:lang w:val="en-US"/>
        </w:rPr>
        <w:t>O</w:t>
      </w:r>
      <w:r w:rsidRPr="008D4DFC">
        <w:rPr>
          <w:vertAlign w:val="subscript"/>
          <w:lang w:val="en-US"/>
        </w:rPr>
        <w:t>1</w:t>
      </w:r>
      <w:r w:rsidRPr="008D4DFC">
        <w:rPr>
          <w:i/>
          <w:lang w:val="en-US"/>
        </w:rPr>
        <w:t>q</w:t>
      </w:r>
      <w:r w:rsidRPr="008D4DFC">
        <w:rPr>
          <w:vertAlign w:val="subscript"/>
          <w:lang w:val="en-US"/>
        </w:rPr>
        <w:t>1</w:t>
      </w:r>
      <w:r w:rsidRPr="008D4DFC">
        <w:rPr>
          <w:lang w:val="en-US"/>
        </w:rPr>
        <w:t xml:space="preserve"> to its trading sector and </w:t>
      </w:r>
      <w:r w:rsidRPr="008D4DFC">
        <w:rPr>
          <w:i/>
          <w:lang w:val="en-US"/>
        </w:rPr>
        <w:t>q</w:t>
      </w:r>
      <w:r w:rsidRPr="008D4DFC">
        <w:rPr>
          <w:vertAlign w:val="subscript"/>
          <w:lang w:val="en-US"/>
        </w:rPr>
        <w:t>1</w:t>
      </w:r>
      <w:r w:rsidRPr="008D4DFC">
        <w:rPr>
          <w:i/>
          <w:lang w:val="en-US"/>
        </w:rPr>
        <w:t>E</w:t>
      </w:r>
      <w:r w:rsidRPr="008D4DFC">
        <w:rPr>
          <w:lang w:val="en-US"/>
        </w:rPr>
        <w:t xml:space="preserve"> to its non-trading sector, while country 2 allocates </w:t>
      </w:r>
      <w:r w:rsidRPr="008D4DFC">
        <w:rPr>
          <w:i/>
          <w:lang w:val="en-US"/>
        </w:rPr>
        <w:t>O</w:t>
      </w:r>
      <w:r w:rsidRPr="008D4DFC">
        <w:rPr>
          <w:vertAlign w:val="subscript"/>
          <w:lang w:val="en-US"/>
        </w:rPr>
        <w:t>2</w:t>
      </w:r>
      <w:r w:rsidRPr="008D4DFC">
        <w:rPr>
          <w:i/>
          <w:lang w:val="en-US"/>
        </w:rPr>
        <w:t>q</w:t>
      </w:r>
      <w:r w:rsidRPr="008D4DFC">
        <w:rPr>
          <w:vertAlign w:val="subscript"/>
          <w:lang w:val="en-US"/>
        </w:rPr>
        <w:t>2</w:t>
      </w:r>
      <w:r w:rsidRPr="008D4DFC">
        <w:rPr>
          <w:lang w:val="en-US"/>
        </w:rPr>
        <w:t xml:space="preserve"> and </w:t>
      </w:r>
      <w:r w:rsidRPr="008D4DFC">
        <w:rPr>
          <w:i/>
          <w:lang w:val="en-US"/>
        </w:rPr>
        <w:t>q</w:t>
      </w:r>
      <w:r w:rsidRPr="008D4DFC">
        <w:rPr>
          <w:vertAlign w:val="subscript"/>
          <w:lang w:val="en-US"/>
        </w:rPr>
        <w:t>2</w:t>
      </w:r>
      <w:r w:rsidRPr="008D4DFC">
        <w:rPr>
          <w:i/>
          <w:lang w:val="en-US"/>
        </w:rPr>
        <w:t>E</w:t>
      </w:r>
      <w:r w:rsidRPr="008D4DFC">
        <w:rPr>
          <w:lang w:val="en-US"/>
        </w:rPr>
        <w:t xml:space="preserve"> respectively. Total emissions in the trading segment are lower than in the cost-effective outcome, so that the permit price is now</w:t>
      </w:r>
      <w:r>
        <w:fldChar w:fldCharType="begin"/>
      </w:r>
      <w:r>
        <w:fldChar w:fldCharType="end"/>
      </w:r>
      <w:r w:rsidRPr="008D4DFC">
        <w:rPr>
          <w:lang w:val="en-US"/>
        </w:rPr>
        <w:t xml:space="preserve"> </w:t>
      </w:r>
      <w:r w:rsidRPr="008D4DFC">
        <w:rPr>
          <w:i/>
          <w:lang w:val="en-US"/>
        </w:rPr>
        <w:t>P</w:t>
      </w:r>
      <w:r w:rsidRPr="008D4DFC">
        <w:rPr>
          <w:i/>
          <w:vertAlign w:val="superscript"/>
          <w:lang w:val="en-US"/>
        </w:rPr>
        <w:t>M</w:t>
      </w:r>
      <w:r w:rsidRPr="008D4DFC">
        <w:rPr>
          <w:lang w:val="en-US"/>
        </w:rPr>
        <w:t>, which exceeds the cost-effective price</w:t>
      </w:r>
      <w:r w:rsidRPr="008D4DFC">
        <w:rPr>
          <w:i/>
          <w:lang w:val="en-US"/>
        </w:rPr>
        <w:t xml:space="preserve"> P</w:t>
      </w:r>
      <w:r w:rsidRPr="008D4DFC">
        <w:rPr>
          <w:i/>
          <w:vertAlign w:val="superscript"/>
          <w:lang w:val="en-US"/>
        </w:rPr>
        <w:t>C</w:t>
      </w:r>
      <w:r w:rsidRPr="008D4DFC">
        <w:rPr>
          <w:lang w:val="en-US"/>
        </w:rPr>
        <w:t xml:space="preserve">. The two countries then have the same gap between the permit price </w:t>
      </w:r>
      <w:r w:rsidRPr="008D4DFC">
        <w:rPr>
          <w:i/>
          <w:lang w:val="en-US"/>
        </w:rPr>
        <w:t>P</w:t>
      </w:r>
      <w:r w:rsidRPr="008D4DFC">
        <w:rPr>
          <w:i/>
          <w:vertAlign w:val="superscript"/>
          <w:lang w:val="en-US"/>
        </w:rPr>
        <w:t>M</w:t>
      </w:r>
      <w:r w:rsidRPr="008D4DFC">
        <w:rPr>
          <w:lang w:val="en-US"/>
        </w:rPr>
        <w:t xml:space="preserve"> and the marginal abatement cost </w:t>
      </w:r>
      <w:r w:rsidRPr="008D4DFC">
        <w:rPr>
          <w:i/>
          <w:lang w:val="en-US"/>
        </w:rPr>
        <w:t>MC</w:t>
      </w:r>
      <w:r w:rsidRPr="008D4DFC">
        <w:rPr>
          <w:i/>
          <w:vertAlign w:val="subscript"/>
          <w:lang w:val="en-US"/>
        </w:rPr>
        <w:t>i,NT</w:t>
      </w:r>
      <w:r w:rsidRPr="008D4DFC">
        <w:rPr>
          <w:lang w:val="en-US"/>
        </w:rPr>
        <w:t xml:space="preserve">, i.e., equal marginal costs of domestic distortion, as required by </w:t>
      </w:r>
      <w:r>
        <w:rPr>
          <w:lang w:val="en-US"/>
        </w:rPr>
        <w:t>(8)</w:t>
      </w:r>
      <w:r w:rsidRPr="008D4DFC">
        <w:rPr>
          <w:lang w:val="en-US"/>
        </w:rPr>
        <w:t>.</w:t>
      </w:r>
      <w:r w:rsidRPr="008D4DFC">
        <w:rPr>
          <w:rStyle w:val="FootnoteReference"/>
          <w:lang w:val="en-US"/>
        </w:rPr>
        <w:footnoteReference w:id="13"/>
      </w:r>
    </w:p>
    <w:p w:rsidR="00D9026F" w:rsidRDefault="00D9026F" w:rsidP="00C26C8C">
      <w:pPr>
        <w:jc w:val="both"/>
        <w:rPr>
          <w:lang w:val="en-US"/>
        </w:rPr>
      </w:pPr>
    </w:p>
    <w:p w:rsidR="00D9026F" w:rsidRPr="008D4DFC" w:rsidRDefault="00D9026F" w:rsidP="00C26C8C">
      <w:pPr>
        <w:jc w:val="both"/>
        <w:rPr>
          <w:lang w:val="en-US"/>
        </w:rPr>
      </w:pPr>
      <w:r>
        <w:rPr>
          <w:lang w:val="en-US"/>
        </w:rPr>
        <w:t>Let us now turn to the effects of sectoral and regional expansion of the permit trading scheme. As we have</w:t>
      </w:r>
      <w:r w:rsidRPr="008D4DFC">
        <w:rPr>
          <w:lang w:val="en-US"/>
        </w:rPr>
        <w:t xml:space="preserve"> illustrated</w:t>
      </w:r>
      <w:r>
        <w:rPr>
          <w:lang w:val="en-US"/>
        </w:rPr>
        <w:t>,</w:t>
      </w:r>
      <w:r w:rsidRPr="008D4DFC">
        <w:rPr>
          <w:lang w:val="en-US"/>
        </w:rPr>
        <w:t xml:space="preserve"> </w:t>
      </w:r>
      <w:r>
        <w:rPr>
          <w:lang w:val="en-US"/>
        </w:rPr>
        <w:t>each</w:t>
      </w:r>
      <w:r w:rsidRPr="008D4DFC">
        <w:rPr>
          <w:lang w:val="en-US"/>
        </w:rPr>
        <w:t xml:space="preserve"> country gains when joining the international emissions trading scheme. It is easily seen that the costs of all participating countries together are minimized when all sectors are included in the international trading scheme.</w:t>
      </w:r>
      <w:r w:rsidRPr="008D4DFC">
        <w:rPr>
          <w:rStyle w:val="FootnoteReference"/>
          <w:lang w:val="en-US"/>
        </w:rPr>
        <w:footnoteReference w:id="14"/>
      </w:r>
      <w:r w:rsidRPr="008D4DFC">
        <w:rPr>
          <w:lang w:val="en-US"/>
        </w:rPr>
        <w:t xml:space="preserve"> In this case there is no scope for countries to manipulate the permit price by letting marginal cost in their non-trading segment deviate from the international permit price.</w:t>
      </w:r>
    </w:p>
    <w:p w:rsidR="00D9026F" w:rsidRPr="008D4DFC" w:rsidRDefault="00D9026F" w:rsidP="00C26C8C">
      <w:pPr>
        <w:jc w:val="both"/>
        <w:rPr>
          <w:lang w:val="en-US"/>
        </w:rPr>
      </w:pPr>
    </w:p>
    <w:p w:rsidR="00D9026F" w:rsidRPr="008D4DFC" w:rsidRDefault="00D9026F" w:rsidP="005316D3">
      <w:pPr>
        <w:jc w:val="both"/>
        <w:rPr>
          <w:lang w:val="en-US"/>
        </w:rPr>
      </w:pPr>
      <w:r w:rsidRPr="008D4DFC">
        <w:rPr>
          <w:lang w:val="en-US"/>
        </w:rPr>
        <w:t xml:space="preserve">However, a </w:t>
      </w:r>
      <w:r>
        <w:rPr>
          <w:lang w:val="en-US"/>
        </w:rPr>
        <w:t xml:space="preserve">single </w:t>
      </w:r>
      <w:r w:rsidRPr="008D4DFC">
        <w:rPr>
          <w:lang w:val="en-US"/>
        </w:rPr>
        <w:t xml:space="preserve">country will not necessarily benefit from the inclusion of additional sectors into the international trading scheme. </w:t>
      </w:r>
      <w:r>
        <w:rPr>
          <w:lang w:val="en-US"/>
        </w:rPr>
        <w:t xml:space="preserve">We have seen that the flatter a country’s marginal abatement cost curve in the non-trading sector, the more it is able to manipulate the permit price. </w:t>
      </w:r>
      <w:r w:rsidRPr="008D4DFC">
        <w:rPr>
          <w:lang w:val="en-US"/>
        </w:rPr>
        <w:t xml:space="preserve">If an expansion of the trading scheme makes a country’s marginal abatement costs in the remaining non-trading segment much steeper, i.e., less elastic, this country will lose its </w:t>
      </w:r>
      <w:r w:rsidRPr="008D4DFC">
        <w:rPr>
          <w:lang w:val="en-US"/>
        </w:rPr>
        <w:lastRenderedPageBreak/>
        <w:t>ability to manipulate the permit price in its favor and may see its overall costs increase as a result of the expansion</w:t>
      </w:r>
      <w:r>
        <w:rPr>
          <w:lang w:val="en-US"/>
        </w:rPr>
        <w:t xml:space="preserve"> (Dijkstra et al., 2011)</w:t>
      </w:r>
      <w:r w:rsidRPr="008D4DFC">
        <w:rPr>
          <w:lang w:val="en-US"/>
        </w:rPr>
        <w:t>.</w:t>
      </w:r>
    </w:p>
    <w:p w:rsidR="00D9026F" w:rsidRPr="008D4DFC" w:rsidRDefault="00D9026F" w:rsidP="00C26C8C">
      <w:pPr>
        <w:jc w:val="both"/>
        <w:rPr>
          <w:lang w:val="en-US"/>
        </w:rPr>
      </w:pPr>
    </w:p>
    <w:p w:rsidR="00D9026F" w:rsidRDefault="00D9026F" w:rsidP="00030B0C">
      <w:pPr>
        <w:jc w:val="both"/>
        <w:rPr>
          <w:lang w:val="en-US"/>
        </w:rPr>
      </w:pPr>
      <w:r>
        <w:rPr>
          <w:lang w:val="en-US"/>
        </w:rPr>
        <w:t>Regional expansion of the trading scheme tends to have more dramatic effects than sectoral expansion (see our numerical simulations below). In order to explain this, we draw on the following proposition:</w:t>
      </w:r>
    </w:p>
    <w:p w:rsidR="00D9026F" w:rsidRDefault="00D9026F" w:rsidP="00030B0C">
      <w:pPr>
        <w:jc w:val="both"/>
        <w:rPr>
          <w:lang w:val="en-US"/>
        </w:rPr>
      </w:pPr>
    </w:p>
    <w:p w:rsidR="00D9026F" w:rsidRPr="006C0B08" w:rsidRDefault="00D9026F" w:rsidP="00030B0C">
      <w:pPr>
        <w:jc w:val="both"/>
        <w:rPr>
          <w:u w:val="single"/>
          <w:lang w:val="en-US"/>
        </w:rPr>
      </w:pPr>
      <w:r w:rsidRPr="00080517">
        <w:rPr>
          <w:u w:val="single"/>
          <w:lang w:val="en-US"/>
        </w:rPr>
        <w:t>Proposition 2:</w:t>
      </w:r>
    </w:p>
    <w:p w:rsidR="00D9026F" w:rsidRDefault="00D9026F" w:rsidP="00030B0C">
      <w:pPr>
        <w:jc w:val="both"/>
        <w:rPr>
          <w:lang w:val="en-US"/>
        </w:rPr>
      </w:pPr>
      <w:r w:rsidRPr="008D4DFC">
        <w:rPr>
          <w:i/>
          <w:lang w:val="en-US"/>
        </w:rPr>
        <w:t xml:space="preserve">Consider n countries with different national emissions targets, having a common trading scheme that covers a subset of all sectors. Assume that countries freely decide on their permit allocation, and play Nash in the allocation game. </w:t>
      </w:r>
      <w:r>
        <w:rPr>
          <w:i/>
          <w:lang w:val="en-US"/>
        </w:rPr>
        <w:t>Let P be the international permit price and P</w:t>
      </w:r>
      <w:r w:rsidRPr="009A67E8">
        <w:rPr>
          <w:i/>
          <w:vertAlign w:val="subscript"/>
          <w:lang w:val="en-US"/>
        </w:rPr>
        <w:t>i</w:t>
      </w:r>
      <w:r w:rsidRPr="009A67E8">
        <w:rPr>
          <w:i/>
          <w:vertAlign w:val="superscript"/>
          <w:lang w:val="en-US"/>
        </w:rPr>
        <w:t>NTR</w:t>
      </w:r>
      <w:r>
        <w:rPr>
          <w:i/>
          <w:lang w:val="en-US"/>
        </w:rPr>
        <w:t xml:space="preserve"> be country i’s marginal costs without international emission trading. Let P</w:t>
      </w:r>
      <w:r w:rsidRPr="00AE7BD9">
        <w:rPr>
          <w:vertAlign w:val="subscript"/>
          <w:lang w:val="en-US"/>
        </w:rPr>
        <w:t>1</w:t>
      </w:r>
      <w:r w:rsidRPr="009A67E8">
        <w:rPr>
          <w:i/>
          <w:vertAlign w:val="superscript"/>
          <w:lang w:val="en-US"/>
        </w:rPr>
        <w:t>NTR</w:t>
      </w:r>
      <w:r>
        <w:rPr>
          <w:i/>
          <w:lang w:val="en-US"/>
        </w:rPr>
        <w:t xml:space="preserve"> ≤ P</w:t>
      </w:r>
      <w:r w:rsidRPr="00AE7BD9">
        <w:rPr>
          <w:vertAlign w:val="subscript"/>
          <w:lang w:val="en-US"/>
        </w:rPr>
        <w:t>2</w:t>
      </w:r>
      <w:r w:rsidRPr="009A67E8">
        <w:rPr>
          <w:i/>
          <w:vertAlign w:val="superscript"/>
          <w:lang w:val="en-US"/>
        </w:rPr>
        <w:t>NTR</w:t>
      </w:r>
      <w:r>
        <w:rPr>
          <w:i/>
          <w:lang w:val="en-US"/>
        </w:rPr>
        <w:t xml:space="preserve"> ≤ … ≤ P</w:t>
      </w:r>
      <w:r>
        <w:rPr>
          <w:i/>
          <w:vertAlign w:val="subscript"/>
          <w:lang w:val="en-US"/>
        </w:rPr>
        <w:t>n</w:t>
      </w:r>
      <w:r w:rsidRPr="009A67E8">
        <w:rPr>
          <w:i/>
          <w:vertAlign w:val="superscript"/>
          <w:lang w:val="en-US"/>
        </w:rPr>
        <w:t>NTR</w:t>
      </w:r>
      <w:r>
        <w:rPr>
          <w:i/>
          <w:lang w:val="en-US"/>
        </w:rPr>
        <w:t xml:space="preserve"> with at least one inequality strict. Then P</w:t>
      </w:r>
      <w:r w:rsidRPr="00AE7BD9">
        <w:rPr>
          <w:vertAlign w:val="subscript"/>
          <w:lang w:val="en-US"/>
        </w:rPr>
        <w:t>1</w:t>
      </w:r>
      <w:r w:rsidRPr="009A67E8">
        <w:rPr>
          <w:i/>
          <w:vertAlign w:val="superscript"/>
          <w:lang w:val="en-US"/>
        </w:rPr>
        <w:t>NTR</w:t>
      </w:r>
      <w:r>
        <w:rPr>
          <w:i/>
          <w:lang w:val="en-US"/>
        </w:rPr>
        <w:t xml:space="preserve"> &lt; P &lt; P</w:t>
      </w:r>
      <w:r>
        <w:rPr>
          <w:i/>
          <w:vertAlign w:val="subscript"/>
          <w:lang w:val="en-US"/>
        </w:rPr>
        <w:t>n</w:t>
      </w:r>
      <w:r w:rsidRPr="009A67E8">
        <w:rPr>
          <w:i/>
          <w:vertAlign w:val="superscript"/>
          <w:lang w:val="en-US"/>
        </w:rPr>
        <w:t>NTR</w:t>
      </w:r>
      <w:r>
        <w:rPr>
          <w:i/>
          <w:lang w:val="en-US"/>
        </w:rPr>
        <w:t>.</w:t>
      </w:r>
    </w:p>
    <w:p w:rsidR="00D9026F" w:rsidRDefault="00D9026F" w:rsidP="00030B0C">
      <w:pPr>
        <w:jc w:val="both"/>
        <w:rPr>
          <w:lang w:val="en-US"/>
        </w:rPr>
      </w:pPr>
    </w:p>
    <w:p w:rsidR="00D9026F" w:rsidDel="009C4D7C" w:rsidRDefault="00D9026F" w:rsidP="00030B0C">
      <w:pPr>
        <w:jc w:val="both"/>
        <w:rPr>
          <w:lang w:val="en-US"/>
        </w:rPr>
      </w:pPr>
      <w:r w:rsidRPr="00080517">
        <w:rPr>
          <w:u w:val="single"/>
          <w:lang w:val="en-US"/>
        </w:rPr>
        <w:t>Proof:</w:t>
      </w:r>
      <w:r>
        <w:rPr>
          <w:u w:val="single"/>
          <w:lang w:val="en-US"/>
        </w:rPr>
        <w:t xml:space="preserve"> See Appendix A.</w:t>
      </w:r>
    </w:p>
    <w:p w:rsidR="00D9026F" w:rsidRDefault="00D9026F" w:rsidP="00030B0C">
      <w:pPr>
        <w:jc w:val="both"/>
        <w:rPr>
          <w:lang w:val="en-US"/>
        </w:rPr>
      </w:pPr>
    </w:p>
    <w:p w:rsidR="00D9026F" w:rsidRDefault="00D9026F">
      <w:pPr>
        <w:jc w:val="both"/>
        <w:rPr>
          <w:lang w:val="en-US"/>
        </w:rPr>
      </w:pPr>
      <w:r>
        <w:rPr>
          <w:lang w:val="en-US"/>
        </w:rPr>
        <w:t xml:space="preserve">This proposition helps to shed light on an important difference between adding sectors to the international trading scheme and adding countries to the scheme. Adding sectors to the scheme can change the permit price, but only within the “corridor” between the lowest and the highest no-trade marginal cost levels </w:t>
      </w:r>
      <w:r w:rsidRPr="00AE7BD9">
        <w:rPr>
          <w:i/>
          <w:lang w:val="en-US"/>
        </w:rPr>
        <w:t>P</w:t>
      </w:r>
      <w:r w:rsidRPr="00A52212">
        <w:rPr>
          <w:vertAlign w:val="subscript"/>
          <w:lang w:val="en-US"/>
        </w:rPr>
        <w:t>1</w:t>
      </w:r>
      <w:r w:rsidRPr="00AE7BD9">
        <w:rPr>
          <w:i/>
          <w:vertAlign w:val="superscript"/>
          <w:lang w:val="en-US"/>
        </w:rPr>
        <w:t>NTR</w:t>
      </w:r>
      <w:r>
        <w:rPr>
          <w:lang w:val="en-US"/>
        </w:rPr>
        <w:t xml:space="preserve"> and </w:t>
      </w:r>
      <w:r w:rsidRPr="00AE7BD9">
        <w:rPr>
          <w:i/>
          <w:lang w:val="en-US"/>
        </w:rPr>
        <w:t>P</w:t>
      </w:r>
      <w:r w:rsidRPr="00AE7BD9">
        <w:rPr>
          <w:i/>
          <w:vertAlign w:val="subscript"/>
          <w:lang w:val="en-US"/>
        </w:rPr>
        <w:t>n</w:t>
      </w:r>
      <w:r w:rsidRPr="00AE7BD9">
        <w:rPr>
          <w:i/>
          <w:vertAlign w:val="superscript"/>
          <w:lang w:val="en-US"/>
        </w:rPr>
        <w:t>NTR</w:t>
      </w:r>
      <w:r>
        <w:rPr>
          <w:lang w:val="en-US"/>
        </w:rPr>
        <w:t xml:space="preserve"> of the participating countries. Adding countries to the scheme can widen this corridor. This happens if the additional countries have lower or higher no-trade marginal cost levels than all the countries that are already in the scheme. Indeed, we see in our simulations that the permit price usually changes more when adding countries to the international trading scheme than when adding sectors to the scheme.  </w:t>
      </w:r>
    </w:p>
    <w:p w:rsidR="00D9026F" w:rsidRPr="008D4DFC" w:rsidRDefault="00D9026F" w:rsidP="00BD03CC">
      <w:pPr>
        <w:pStyle w:val="Heading1"/>
        <w:jc w:val="both"/>
        <w:rPr>
          <w:lang w:val="en-US"/>
        </w:rPr>
      </w:pPr>
      <w:r w:rsidRPr="008D4DFC">
        <w:rPr>
          <w:lang w:val="en-US"/>
        </w:rPr>
        <w:t>3. Numerical Model and Benchmark Data</w:t>
      </w:r>
    </w:p>
    <w:p w:rsidR="00D9026F" w:rsidRDefault="00D9026F" w:rsidP="00C1773C">
      <w:pPr>
        <w:jc w:val="both"/>
        <w:rPr>
          <w:lang w:val="en-US"/>
        </w:rPr>
      </w:pPr>
      <w:r>
        <w:rPr>
          <w:lang w:val="en-US"/>
        </w:rPr>
        <w:t xml:space="preserve">The numerical model follows closely the theory model analyzed in the previous section. For any given sectoral and regional coverage of the ETS, each country </w:t>
      </w:r>
      <w:r w:rsidRPr="008D4DFC">
        <w:rPr>
          <w:lang w:val="en-US"/>
        </w:rPr>
        <w:t>behave</w:t>
      </w:r>
      <w:r>
        <w:rPr>
          <w:lang w:val="en-US"/>
        </w:rPr>
        <w:t>s</w:t>
      </w:r>
      <w:r w:rsidRPr="008D4DFC">
        <w:rPr>
          <w:lang w:val="en-US"/>
        </w:rPr>
        <w:t xml:space="preserve"> in a Cournot-Nash manner as </w:t>
      </w:r>
      <w:r>
        <w:rPr>
          <w:lang w:val="en-US"/>
        </w:rPr>
        <w:t xml:space="preserve">it minimizes the sum of abatement costs and net permit expenditures (cf. equation (6)). That is, it seeks </w:t>
      </w:r>
      <w:r w:rsidRPr="008D4DFC">
        <w:rPr>
          <w:lang w:val="en-US"/>
        </w:rPr>
        <w:t xml:space="preserve">for a best-response partitioning of </w:t>
      </w:r>
      <w:r>
        <w:rPr>
          <w:lang w:val="en-US"/>
        </w:rPr>
        <w:t xml:space="preserve">its exogenous </w:t>
      </w:r>
      <w:r w:rsidRPr="008D4DFC">
        <w:rPr>
          <w:lang w:val="en-US"/>
        </w:rPr>
        <w:t xml:space="preserve">domestic emission </w:t>
      </w:r>
      <w:r>
        <w:rPr>
          <w:lang w:val="en-US"/>
        </w:rPr>
        <w:t>target (</w:t>
      </w:r>
      <w:r>
        <w:rPr>
          <w:i/>
          <w:lang w:val="en-US"/>
        </w:rPr>
        <w:t>q</w:t>
      </w:r>
      <w:r w:rsidRPr="00550328">
        <w:rPr>
          <w:i/>
          <w:vertAlign w:val="subscript"/>
          <w:lang w:val="en-US"/>
        </w:rPr>
        <w:t>i</w:t>
      </w:r>
      <w:r>
        <w:rPr>
          <w:lang w:val="en-US"/>
        </w:rPr>
        <w:t xml:space="preserve">) </w:t>
      </w:r>
      <w:r w:rsidRPr="008D4DFC">
        <w:rPr>
          <w:lang w:val="en-US"/>
        </w:rPr>
        <w:t xml:space="preserve">between </w:t>
      </w:r>
      <w:r>
        <w:rPr>
          <w:lang w:val="en-US"/>
        </w:rPr>
        <w:t xml:space="preserve">ETS </w:t>
      </w:r>
      <w:r w:rsidRPr="008D4DFC">
        <w:rPr>
          <w:lang w:val="en-US"/>
        </w:rPr>
        <w:t>sectors and the sectors outside the ETS.</w:t>
      </w:r>
      <w:r>
        <w:rPr>
          <w:lang w:val="en-US"/>
        </w:rPr>
        <w:t xml:space="preserve"> The model iterates until it finds the unique Nash equilibrium for this particular sectoral and regional coverage. </w:t>
      </w:r>
    </w:p>
    <w:p w:rsidR="00D9026F" w:rsidRDefault="00D9026F" w:rsidP="00C1773C">
      <w:pPr>
        <w:jc w:val="both"/>
        <w:rPr>
          <w:lang w:val="en-US"/>
        </w:rPr>
      </w:pPr>
    </w:p>
    <w:p w:rsidR="00D9026F" w:rsidRPr="008D4DFC" w:rsidRDefault="00D9026F" w:rsidP="00BD03CC">
      <w:pPr>
        <w:jc w:val="both"/>
        <w:rPr>
          <w:lang w:val="en-US"/>
        </w:rPr>
      </w:pPr>
      <w:r w:rsidRPr="008D4DFC">
        <w:rPr>
          <w:lang w:val="en-US"/>
        </w:rPr>
        <w:lastRenderedPageBreak/>
        <w:t>The marginal abatement cost curves</w:t>
      </w:r>
      <w:r>
        <w:rPr>
          <w:lang w:val="en-US"/>
        </w:rPr>
        <w:t>,</w:t>
      </w:r>
      <w:r w:rsidRPr="008D4DFC">
        <w:rPr>
          <w:lang w:val="en-US"/>
        </w:rPr>
        <w:t xml:space="preserve"> which reflect differences in emission reduction possibilities across sectors and regions</w:t>
      </w:r>
      <w:r>
        <w:rPr>
          <w:lang w:val="en-US"/>
        </w:rPr>
        <w:t>, are obviously crucial for the numerical results</w:t>
      </w:r>
      <w:r w:rsidRPr="008D4DFC">
        <w:rPr>
          <w:lang w:val="en-US"/>
        </w:rPr>
        <w:t xml:space="preserve">. We can generate these cost functions in continuous form given a sufficiently large number of discrete observations for marginal abatement costs and the induced emission reductions in sectors and regions. In applied research marginal abatement costs are often provided as discrete step-functions where the data is either collected through expert assessments of abatement possibilities or generated through bottom-up models of the energy system (e.g., Criqui and Mima, 2001; Capros et al., 1998). Another wide-spread method is to derive marginal abatement costs curves from economy-wide models with a top-down representation of emission reduction possibilities in production and consumption (see, e.g., Eyckmans et al., 2001). </w:t>
      </w:r>
    </w:p>
    <w:p w:rsidR="00D9026F" w:rsidRPr="008D4DFC" w:rsidRDefault="00D9026F" w:rsidP="00A413D8">
      <w:pPr>
        <w:jc w:val="both"/>
        <w:rPr>
          <w:lang w:val="en-US"/>
        </w:rPr>
      </w:pPr>
    </w:p>
    <w:p w:rsidR="00D9026F" w:rsidRPr="008D4DFC" w:rsidRDefault="00D9026F" w:rsidP="00A413D8">
      <w:pPr>
        <w:jc w:val="both"/>
        <w:rPr>
          <w:lang w:val="en-US"/>
        </w:rPr>
      </w:pPr>
      <w:r w:rsidRPr="008D4DFC">
        <w:rPr>
          <w:lang w:val="en-US"/>
        </w:rPr>
        <w:t xml:space="preserve">As our numerical analysis requires marginal abatement cost curves for many sectors and regions, a bottom-up approach is not practical. We therefore employ an established multi-sector, multi-region computable general equilibrium (CGE) model of the world economy (see Böhringer and Rutherford, 2010, for a recent detailed model description) to obtain explicit reduced-form representations of marginal abatement cost curves. The CGE model is based on the GTAP7 dataset for 2004 which features consistent accounts of production and consumption, bilateral trade and energy (carbon emission) flows for 57 sectors and 113 regions (Badri and Walmsley, 2008) and is complemented with econometric estimates on sector-specific elasticities of substitution (Okagawa and Ban, 2008). Since our numerical simulations refer to 2020 as the central compliance year for a potential Post-Kyoto agreement, we perform a business-as-usual forward projection of the model to 2020 based on the International Energy Outlook </w:t>
      </w:r>
      <w:r>
        <w:rPr>
          <w:lang w:val="en-US"/>
        </w:rPr>
        <w:t xml:space="preserve">of the U.S. </w:t>
      </w:r>
      <w:r w:rsidRPr="008D4DFC">
        <w:rPr>
          <w:lang w:val="en-US"/>
        </w:rPr>
        <w:t>E</w:t>
      </w:r>
      <w:r>
        <w:rPr>
          <w:lang w:val="en-US"/>
        </w:rPr>
        <w:t xml:space="preserve">nergy </w:t>
      </w:r>
      <w:r w:rsidRPr="008D4DFC">
        <w:rPr>
          <w:lang w:val="en-US"/>
        </w:rPr>
        <w:t>I</w:t>
      </w:r>
      <w:r>
        <w:rPr>
          <w:lang w:val="en-US"/>
        </w:rPr>
        <w:t xml:space="preserve">nformation </w:t>
      </w:r>
      <w:r w:rsidRPr="008D4DFC">
        <w:rPr>
          <w:lang w:val="en-US"/>
        </w:rPr>
        <w:t>A</w:t>
      </w:r>
      <w:r>
        <w:rPr>
          <w:lang w:val="en-US"/>
        </w:rPr>
        <w:t>dministration</w:t>
      </w:r>
      <w:r w:rsidRPr="008D4DFC">
        <w:rPr>
          <w:lang w:val="en-US"/>
        </w:rPr>
        <w:t xml:space="preserve"> </w:t>
      </w:r>
      <w:r>
        <w:rPr>
          <w:lang w:val="en-US"/>
        </w:rPr>
        <w:t xml:space="preserve">(EIA, </w:t>
      </w:r>
      <w:r w:rsidRPr="008D4DFC">
        <w:rPr>
          <w:lang w:val="en-US"/>
        </w:rPr>
        <w:t xml:space="preserve">2010). We aggregate the GTAP7 dataset towards a more compact representation with 9 sectors and 13 regions. Table 1 provides a summary of explicit sectors and regions incorporated in our numerical analysis. </w:t>
      </w:r>
    </w:p>
    <w:p w:rsidR="00D9026F" w:rsidRPr="008D4DFC" w:rsidRDefault="00D9026F" w:rsidP="00323AE7">
      <w:pPr>
        <w:spacing w:before="120"/>
        <w:jc w:val="both"/>
        <w:rPr>
          <w:lang w:val="en-US"/>
        </w:rPr>
      </w:pPr>
      <w:r w:rsidRPr="008D4DFC">
        <w:rPr>
          <w:lang w:val="en-US"/>
        </w:rPr>
        <w:t>The sectors include primary and secondary energy goods (coal, natural gas, crude oil, refined oil products, and electricity), a composite of carbon-intensive commodities covered under the existing EU ETS</w:t>
      </w:r>
      <w:r>
        <w:rPr>
          <w:lang w:val="en-US"/>
        </w:rPr>
        <w:t>,</w:t>
      </w:r>
      <w:r w:rsidRPr="008D4DFC">
        <w:rPr>
          <w:lang w:val="en-US"/>
        </w:rPr>
        <w:t xml:space="preserve"> and important candidates for sectoral expansion, in particular transport activities. The remaining production of commodities and services is summarized in one aggregate sector; likewise private consumption patterns with associated carbon emissions are reflected in a composite final demand activity. The regions depicted for our analysis represent </w:t>
      </w:r>
      <w:r w:rsidRPr="008D4DFC">
        <w:rPr>
          <w:lang w:val="en-US"/>
        </w:rPr>
        <w:lastRenderedPageBreak/>
        <w:t>key players in the climate policy debate which may be seen as potential candidates for linking up with the EU ETS.</w:t>
      </w:r>
    </w:p>
    <w:p w:rsidR="00D9026F" w:rsidRPr="008D4DFC" w:rsidRDefault="00D9026F" w:rsidP="00014F22">
      <w:pPr>
        <w:spacing w:before="240" w:after="120"/>
        <w:ind w:left="902" w:hanging="902"/>
        <w:jc w:val="both"/>
        <w:rPr>
          <w:bCs/>
          <w:lang w:val="en-US"/>
        </w:rPr>
      </w:pPr>
      <w:r w:rsidRPr="008D4DFC">
        <w:rPr>
          <w:bCs/>
          <w:lang w:val="en-US"/>
        </w:rPr>
        <w:t>Table 1: Model sectors and regions</w:t>
      </w:r>
    </w:p>
    <w:tbl>
      <w:tblPr>
        <w:tblW w:w="9034" w:type="dxa"/>
        <w:tblBorders>
          <w:top w:val="single" w:sz="12" w:space="0" w:color="008000"/>
          <w:bottom w:val="single" w:sz="12" w:space="0" w:color="008000"/>
        </w:tblBorders>
        <w:tblLayout w:type="fixed"/>
        <w:tblLook w:val="0020" w:firstRow="1" w:lastRow="0" w:firstColumn="0" w:lastColumn="0" w:noHBand="0" w:noVBand="0"/>
      </w:tblPr>
      <w:tblGrid>
        <w:gridCol w:w="3897"/>
        <w:gridCol w:w="783"/>
        <w:gridCol w:w="4354"/>
      </w:tblGrid>
      <w:tr w:rsidR="00D9026F" w:rsidRPr="008D4DFC" w:rsidTr="00D62735">
        <w:tc>
          <w:tcPr>
            <w:tcW w:w="3897" w:type="dxa"/>
            <w:tcBorders>
              <w:top w:val="single" w:sz="12" w:space="0" w:color="008000"/>
              <w:bottom w:val="single" w:sz="6" w:space="0" w:color="008000"/>
            </w:tcBorders>
          </w:tcPr>
          <w:p w:rsidR="00D9026F" w:rsidRPr="00D62735" w:rsidRDefault="00D9026F" w:rsidP="00D62735">
            <w:pPr>
              <w:pStyle w:val="Footer"/>
              <w:spacing w:before="40" w:after="40" w:line="240" w:lineRule="atLeast"/>
              <w:jc w:val="both"/>
              <w:rPr>
                <w:i/>
                <w:lang w:val="en-US"/>
              </w:rPr>
            </w:pPr>
            <w:r w:rsidRPr="00D62735">
              <w:rPr>
                <w:i/>
                <w:lang w:val="en-US"/>
              </w:rPr>
              <w:t>Sectors and commodities</w:t>
            </w:r>
          </w:p>
        </w:tc>
        <w:tc>
          <w:tcPr>
            <w:tcW w:w="783" w:type="dxa"/>
            <w:tcBorders>
              <w:top w:val="single" w:sz="12" w:space="0" w:color="008000"/>
              <w:bottom w:val="single" w:sz="6" w:space="0" w:color="008000"/>
            </w:tcBorders>
          </w:tcPr>
          <w:p w:rsidR="00D9026F" w:rsidRPr="00D62735" w:rsidRDefault="00D9026F" w:rsidP="00D62735">
            <w:pPr>
              <w:pStyle w:val="Footer"/>
              <w:spacing w:before="40" w:after="40" w:line="240" w:lineRule="atLeast"/>
              <w:jc w:val="both"/>
              <w:rPr>
                <w:i/>
                <w:lang w:val="en-US"/>
              </w:rPr>
            </w:pPr>
          </w:p>
        </w:tc>
        <w:tc>
          <w:tcPr>
            <w:tcW w:w="4354" w:type="dxa"/>
            <w:tcBorders>
              <w:top w:val="single" w:sz="12" w:space="0" w:color="008000"/>
              <w:bottom w:val="single" w:sz="6" w:space="0" w:color="008000"/>
            </w:tcBorders>
          </w:tcPr>
          <w:p w:rsidR="00D9026F" w:rsidRPr="00D62735" w:rsidRDefault="00D9026F" w:rsidP="00D62735">
            <w:pPr>
              <w:spacing w:before="40" w:after="40" w:line="240" w:lineRule="atLeast"/>
              <w:ind w:right="-57"/>
              <w:jc w:val="both"/>
              <w:rPr>
                <w:i/>
                <w:lang w:val="en-US"/>
              </w:rPr>
            </w:pPr>
            <w:r w:rsidRPr="00D62735">
              <w:rPr>
                <w:i/>
                <w:lang w:val="en-US"/>
              </w:rPr>
              <w:t>Countries and regions</w:t>
            </w:r>
          </w:p>
        </w:tc>
      </w:tr>
      <w:tr w:rsidR="00D9026F" w:rsidRPr="008D4DFC" w:rsidTr="00D62735">
        <w:tc>
          <w:tcPr>
            <w:tcW w:w="3897" w:type="dxa"/>
          </w:tcPr>
          <w:p w:rsidR="00D9026F" w:rsidRPr="00D62735" w:rsidRDefault="00D9026F" w:rsidP="00D62735">
            <w:pPr>
              <w:spacing w:before="40" w:after="40" w:line="240" w:lineRule="atLeast"/>
              <w:jc w:val="both"/>
              <w:rPr>
                <w:i/>
                <w:lang w:val="en-US"/>
              </w:rPr>
            </w:pPr>
            <w:r w:rsidRPr="00D62735">
              <w:rPr>
                <w:i/>
                <w:lang w:val="en-US"/>
              </w:rPr>
              <w:t>Energy</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right="-57"/>
              <w:jc w:val="both"/>
              <w:rPr>
                <w:i/>
                <w:lang w:val="en-US"/>
              </w:rPr>
            </w:pPr>
            <w:r w:rsidRPr="00D62735">
              <w:rPr>
                <w:i/>
                <w:lang w:val="en-US"/>
              </w:rPr>
              <w:t xml:space="preserve">Annex B regions </w:t>
            </w:r>
          </w:p>
        </w:tc>
      </w:tr>
      <w:tr w:rsidR="00D9026F" w:rsidRPr="008D4DFC" w:rsidTr="00D62735">
        <w:tc>
          <w:tcPr>
            <w:tcW w:w="3897" w:type="dxa"/>
          </w:tcPr>
          <w:p w:rsidR="00D9026F" w:rsidRPr="00D62735" w:rsidRDefault="00D9026F" w:rsidP="00D62735">
            <w:pPr>
              <w:tabs>
                <w:tab w:val="left" w:pos="360"/>
              </w:tabs>
              <w:spacing w:before="40" w:after="40" w:line="240" w:lineRule="atLeast"/>
              <w:jc w:val="both"/>
              <w:rPr>
                <w:lang w:val="en-US"/>
              </w:rPr>
            </w:pPr>
            <w:r w:rsidRPr="00D62735">
              <w:rPr>
                <w:lang w:val="en-US"/>
              </w:rPr>
              <w:tab/>
              <w:t>Coal (COL)</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EU-27 (EUR)</w:t>
            </w:r>
          </w:p>
        </w:tc>
      </w:tr>
      <w:tr w:rsidR="00D9026F" w:rsidRPr="008D4DFC" w:rsidTr="00D62735">
        <w:tc>
          <w:tcPr>
            <w:tcW w:w="3897" w:type="dxa"/>
          </w:tcPr>
          <w:p w:rsidR="00D9026F" w:rsidRPr="00D62735" w:rsidRDefault="00D9026F" w:rsidP="00D62735">
            <w:pPr>
              <w:spacing w:before="40" w:after="40" w:line="240" w:lineRule="atLeast"/>
              <w:ind w:left="360" w:hanging="360"/>
              <w:jc w:val="both"/>
              <w:rPr>
                <w:lang w:val="en-US"/>
              </w:rPr>
            </w:pPr>
            <w:r w:rsidRPr="00D62735">
              <w:rPr>
                <w:lang w:val="en-US"/>
              </w:rPr>
              <w:tab/>
              <w:t>Crude oil (CRU)</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USA (USA)</w:t>
            </w:r>
          </w:p>
        </w:tc>
      </w:tr>
      <w:tr w:rsidR="00D9026F" w:rsidRPr="008D4DFC" w:rsidTr="00D62735">
        <w:tc>
          <w:tcPr>
            <w:tcW w:w="3897" w:type="dxa"/>
          </w:tcPr>
          <w:p w:rsidR="00D9026F" w:rsidRPr="00D62735" w:rsidRDefault="00D9026F" w:rsidP="00D62735">
            <w:pPr>
              <w:spacing w:before="40" w:after="40" w:line="240" w:lineRule="atLeast"/>
              <w:ind w:left="360" w:hanging="360"/>
              <w:jc w:val="both"/>
              <w:rPr>
                <w:lang w:val="en-US"/>
              </w:rPr>
            </w:pPr>
            <w:r w:rsidRPr="00D62735">
              <w:rPr>
                <w:lang w:val="en-US"/>
              </w:rPr>
              <w:tab/>
              <w:t>Natural gas (GAS)</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Canada (CAN)</w:t>
            </w:r>
          </w:p>
        </w:tc>
      </w:tr>
      <w:tr w:rsidR="00D9026F" w:rsidRPr="008D4DFC" w:rsidTr="00D62735">
        <w:tc>
          <w:tcPr>
            <w:tcW w:w="3897" w:type="dxa"/>
          </w:tcPr>
          <w:p w:rsidR="00D9026F" w:rsidRPr="00D62735" w:rsidRDefault="00D9026F" w:rsidP="00D62735">
            <w:pPr>
              <w:spacing w:before="40" w:after="40" w:line="240" w:lineRule="atLeast"/>
              <w:ind w:left="360" w:hanging="360"/>
              <w:jc w:val="both"/>
              <w:rPr>
                <w:lang w:val="en-US"/>
              </w:rPr>
            </w:pPr>
            <w:r w:rsidRPr="00D62735">
              <w:rPr>
                <w:lang w:val="en-US"/>
              </w:rPr>
              <w:tab/>
              <w:t>Refined oil products (OIL)</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Japan (JPN)</w:t>
            </w:r>
          </w:p>
        </w:tc>
      </w:tr>
      <w:tr w:rsidR="00D9026F" w:rsidRPr="008D4DFC" w:rsidTr="00D62735">
        <w:tc>
          <w:tcPr>
            <w:tcW w:w="3897" w:type="dxa"/>
          </w:tcPr>
          <w:p w:rsidR="00D9026F" w:rsidRPr="00D62735" w:rsidRDefault="00D9026F" w:rsidP="00D62735">
            <w:pPr>
              <w:spacing w:before="40" w:after="40" w:line="240" w:lineRule="atLeast"/>
              <w:ind w:left="360" w:hanging="360"/>
              <w:jc w:val="both"/>
              <w:rPr>
                <w:lang w:val="en-US"/>
              </w:rPr>
            </w:pPr>
            <w:r w:rsidRPr="00D62735">
              <w:rPr>
                <w:lang w:val="en-US"/>
              </w:rPr>
              <w:tab/>
              <w:t>Electricity (ELE)</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Russian Federation (RUS)</w:t>
            </w:r>
          </w:p>
        </w:tc>
      </w:tr>
      <w:tr w:rsidR="00D9026F" w:rsidRPr="008D4DFC" w:rsidTr="00D62735">
        <w:tc>
          <w:tcPr>
            <w:tcW w:w="3897" w:type="dxa"/>
          </w:tcPr>
          <w:p w:rsidR="00D9026F" w:rsidRPr="00D62735" w:rsidRDefault="00D9026F" w:rsidP="00D62735">
            <w:pPr>
              <w:spacing w:before="40" w:after="40" w:line="240" w:lineRule="atLeast"/>
              <w:ind w:left="142" w:firstLine="142"/>
              <w:jc w:val="both"/>
              <w:rPr>
                <w:i/>
                <w:lang w:val="en-US"/>
              </w:rPr>
            </w:pP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Australia (AUS)</w:t>
            </w:r>
          </w:p>
        </w:tc>
      </w:tr>
      <w:tr w:rsidR="00D9026F" w:rsidRPr="008D4DFC" w:rsidTr="00D62735">
        <w:tc>
          <w:tcPr>
            <w:tcW w:w="3897" w:type="dxa"/>
          </w:tcPr>
          <w:p w:rsidR="00D9026F" w:rsidRPr="00D62735" w:rsidRDefault="00D9026F" w:rsidP="00D62735">
            <w:pPr>
              <w:spacing w:before="40" w:after="40" w:line="240" w:lineRule="atLeast"/>
              <w:jc w:val="both"/>
              <w:rPr>
                <w:i/>
                <w:lang w:val="en-US"/>
              </w:rPr>
            </w:pPr>
            <w:r w:rsidRPr="00D62735">
              <w:rPr>
                <w:i/>
                <w:lang w:val="en-US"/>
              </w:rPr>
              <w:t>Non-energy</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43" w:right="-57"/>
              <w:jc w:val="both"/>
              <w:rPr>
                <w:lang w:val="en-US"/>
              </w:rPr>
            </w:pPr>
            <w:r w:rsidRPr="00D62735">
              <w:rPr>
                <w:i/>
                <w:lang w:val="en-US"/>
              </w:rPr>
              <w:t>Non-Annex B regions</w:t>
            </w:r>
          </w:p>
        </w:tc>
      </w:tr>
      <w:tr w:rsidR="00D9026F" w:rsidRPr="008D4DFC" w:rsidTr="00D62735">
        <w:tc>
          <w:tcPr>
            <w:tcW w:w="3897" w:type="dxa"/>
          </w:tcPr>
          <w:p w:rsidR="00D9026F" w:rsidRPr="00D62735" w:rsidRDefault="00D9026F" w:rsidP="00D62735">
            <w:pPr>
              <w:spacing w:before="40" w:after="40" w:line="240" w:lineRule="atLeast"/>
              <w:ind w:left="360"/>
              <w:jc w:val="both"/>
              <w:rPr>
                <w:lang w:val="en-US"/>
              </w:rPr>
            </w:pPr>
            <w:r w:rsidRPr="00D62735">
              <w:rPr>
                <w:lang w:val="en-US"/>
              </w:rPr>
              <w:t>Energy-intensive industries (EIS)</w:t>
            </w:r>
            <w:r w:rsidRPr="00D62735">
              <w:rPr>
                <w:vertAlign w:val="superscript"/>
                <w:lang w:val="en-US"/>
              </w:rPr>
              <w:t>a</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Mexico (MEX)</w:t>
            </w:r>
          </w:p>
        </w:tc>
      </w:tr>
      <w:tr w:rsidR="00D9026F" w:rsidRPr="008D4DFC" w:rsidTr="00D62735">
        <w:tc>
          <w:tcPr>
            <w:tcW w:w="3897" w:type="dxa"/>
          </w:tcPr>
          <w:p w:rsidR="00D9026F" w:rsidRPr="00D62735" w:rsidRDefault="00D9026F" w:rsidP="00D62735">
            <w:pPr>
              <w:spacing w:before="40" w:after="40" w:line="240" w:lineRule="atLeast"/>
              <w:ind w:left="360"/>
              <w:jc w:val="both"/>
              <w:rPr>
                <w:lang w:val="en-US"/>
              </w:rPr>
            </w:pPr>
            <w:r w:rsidRPr="00D62735">
              <w:rPr>
                <w:lang w:val="en-US"/>
              </w:rPr>
              <w:t>Other transport (OTP)</w:t>
            </w:r>
            <w:r w:rsidRPr="00D62735">
              <w:rPr>
                <w:vertAlign w:val="superscript"/>
                <w:lang w:val="en-US"/>
              </w:rPr>
              <w:t>b</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South Korea (KOR)</w:t>
            </w:r>
          </w:p>
        </w:tc>
      </w:tr>
      <w:tr w:rsidR="00D9026F" w:rsidRPr="008D4DFC" w:rsidTr="00D62735">
        <w:tc>
          <w:tcPr>
            <w:tcW w:w="3897" w:type="dxa"/>
          </w:tcPr>
          <w:p w:rsidR="00D9026F" w:rsidRPr="00D62735" w:rsidRDefault="00D9026F" w:rsidP="00D62735">
            <w:pPr>
              <w:spacing w:before="40" w:after="40" w:line="240" w:lineRule="atLeast"/>
              <w:ind w:left="360"/>
              <w:jc w:val="both"/>
              <w:rPr>
                <w:lang w:val="en-US"/>
              </w:rPr>
            </w:pPr>
            <w:r w:rsidRPr="00D62735">
              <w:rPr>
                <w:lang w:val="en-US"/>
              </w:rPr>
              <w:t>Water transport (WTP)</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China (CHN)</w:t>
            </w:r>
          </w:p>
        </w:tc>
      </w:tr>
      <w:tr w:rsidR="00D9026F" w:rsidRPr="008D4DFC" w:rsidTr="00D62735">
        <w:tc>
          <w:tcPr>
            <w:tcW w:w="3897" w:type="dxa"/>
          </w:tcPr>
          <w:p w:rsidR="00D9026F" w:rsidRPr="00D62735" w:rsidRDefault="00D9026F" w:rsidP="00D62735">
            <w:pPr>
              <w:spacing w:before="40" w:after="40" w:line="240" w:lineRule="atLeast"/>
              <w:ind w:left="360"/>
              <w:jc w:val="both"/>
              <w:rPr>
                <w:lang w:val="en-US"/>
              </w:rPr>
            </w:pPr>
            <w:r w:rsidRPr="00D62735">
              <w:rPr>
                <w:lang w:val="en-US"/>
              </w:rPr>
              <w:t>Rest of industry (ROI)</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India (IND)</w:t>
            </w:r>
          </w:p>
        </w:tc>
      </w:tr>
      <w:tr w:rsidR="00D9026F" w:rsidRPr="008D4DFC" w:rsidTr="00D62735">
        <w:tc>
          <w:tcPr>
            <w:tcW w:w="3897" w:type="dxa"/>
          </w:tcPr>
          <w:p w:rsidR="00D9026F" w:rsidRPr="00D62735" w:rsidRDefault="00D9026F" w:rsidP="00D62735">
            <w:pPr>
              <w:spacing w:before="40" w:after="40" w:line="240" w:lineRule="atLeast"/>
              <w:ind w:left="360"/>
              <w:jc w:val="both"/>
              <w:rPr>
                <w:lang w:val="en-US"/>
              </w:rPr>
            </w:pPr>
            <w:r w:rsidRPr="00D62735">
              <w:rPr>
                <w:lang w:val="en-US"/>
              </w:rPr>
              <w:t>Final demand (C)</w:t>
            </w: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Brazil (BRA)</w:t>
            </w:r>
          </w:p>
        </w:tc>
      </w:tr>
      <w:tr w:rsidR="00D9026F" w:rsidRPr="008D4DFC" w:rsidTr="00D62735">
        <w:tc>
          <w:tcPr>
            <w:tcW w:w="3897" w:type="dxa"/>
          </w:tcPr>
          <w:p w:rsidR="00D9026F" w:rsidRPr="00D62735" w:rsidRDefault="00D9026F" w:rsidP="00D62735">
            <w:pPr>
              <w:spacing w:before="40" w:after="40" w:line="240" w:lineRule="atLeast"/>
              <w:ind w:left="360"/>
              <w:jc w:val="both"/>
              <w:rPr>
                <w:lang w:val="en-US"/>
              </w:rPr>
            </w:pPr>
          </w:p>
        </w:tc>
        <w:tc>
          <w:tcPr>
            <w:tcW w:w="783" w:type="dxa"/>
          </w:tcPr>
          <w:p w:rsidR="00D9026F" w:rsidRPr="00D62735" w:rsidRDefault="00D9026F" w:rsidP="00D62735">
            <w:pPr>
              <w:spacing w:before="40" w:after="40" w:line="240" w:lineRule="atLeast"/>
              <w:jc w:val="both"/>
              <w:rPr>
                <w:lang w:val="en-US"/>
              </w:rPr>
            </w:pPr>
          </w:p>
        </w:tc>
        <w:tc>
          <w:tcPr>
            <w:tcW w:w="4354" w:type="dxa"/>
          </w:tcPr>
          <w:p w:rsidR="00D9026F" w:rsidRPr="00D62735" w:rsidRDefault="00D9026F" w:rsidP="00D62735">
            <w:pPr>
              <w:spacing w:before="40" w:after="40" w:line="240" w:lineRule="atLeast"/>
              <w:ind w:left="384" w:right="-57" w:hanging="384"/>
              <w:jc w:val="both"/>
              <w:rPr>
                <w:lang w:val="en-US"/>
              </w:rPr>
            </w:pPr>
            <w:r w:rsidRPr="00D62735">
              <w:rPr>
                <w:lang w:val="en-US"/>
              </w:rPr>
              <w:tab/>
              <w:t>South Africa (ZAF)</w:t>
            </w:r>
          </w:p>
        </w:tc>
      </w:tr>
      <w:tr w:rsidR="00D9026F" w:rsidRPr="00C65957" w:rsidTr="00D62735">
        <w:tc>
          <w:tcPr>
            <w:tcW w:w="3897" w:type="dxa"/>
            <w:tcBorders>
              <w:bottom w:val="single" w:sz="12" w:space="0" w:color="008000"/>
            </w:tcBorders>
          </w:tcPr>
          <w:p w:rsidR="00D9026F" w:rsidRPr="00D62735" w:rsidRDefault="00D9026F" w:rsidP="00D62735">
            <w:pPr>
              <w:spacing w:before="40" w:after="40" w:line="240" w:lineRule="atLeast"/>
              <w:ind w:left="360"/>
              <w:jc w:val="both"/>
              <w:rPr>
                <w:lang w:val="en-US"/>
              </w:rPr>
            </w:pPr>
          </w:p>
        </w:tc>
        <w:tc>
          <w:tcPr>
            <w:tcW w:w="783" w:type="dxa"/>
            <w:tcBorders>
              <w:bottom w:val="single" w:sz="12" w:space="0" w:color="008000"/>
            </w:tcBorders>
          </w:tcPr>
          <w:p w:rsidR="00D9026F" w:rsidRPr="00D62735" w:rsidRDefault="00D9026F" w:rsidP="00D62735">
            <w:pPr>
              <w:spacing w:before="40" w:after="40" w:line="240" w:lineRule="atLeast"/>
              <w:jc w:val="both"/>
              <w:rPr>
                <w:lang w:val="en-US"/>
              </w:rPr>
            </w:pPr>
          </w:p>
        </w:tc>
        <w:tc>
          <w:tcPr>
            <w:tcW w:w="4354" w:type="dxa"/>
            <w:tcBorders>
              <w:bottom w:val="single" w:sz="12" w:space="0" w:color="008000"/>
            </w:tcBorders>
          </w:tcPr>
          <w:p w:rsidR="00D9026F" w:rsidRPr="00D62735" w:rsidRDefault="00D9026F" w:rsidP="00D62735">
            <w:pPr>
              <w:spacing w:before="40" w:after="40" w:line="240" w:lineRule="atLeast"/>
              <w:ind w:left="384" w:right="-57" w:hanging="384"/>
              <w:jc w:val="both"/>
              <w:rPr>
                <w:lang w:val="en-US"/>
              </w:rPr>
            </w:pPr>
            <w:r w:rsidRPr="00D62735">
              <w:rPr>
                <w:lang w:val="en-US"/>
              </w:rPr>
              <w:tab/>
              <w:t>Rest of the World (ROW)</w:t>
            </w:r>
          </w:p>
        </w:tc>
      </w:tr>
    </w:tbl>
    <w:p w:rsidR="00D9026F" w:rsidRPr="008D4DFC" w:rsidRDefault="00D9026F" w:rsidP="00475702">
      <w:pPr>
        <w:spacing w:line="240" w:lineRule="auto"/>
        <w:ind w:left="181" w:hanging="181"/>
        <w:jc w:val="both"/>
        <w:rPr>
          <w:sz w:val="18"/>
          <w:szCs w:val="18"/>
          <w:lang w:val="en-US"/>
        </w:rPr>
      </w:pPr>
      <w:r w:rsidRPr="008D4DFC">
        <w:rPr>
          <w:sz w:val="22"/>
          <w:szCs w:val="22"/>
          <w:vertAlign w:val="superscript"/>
          <w:lang w:val="en-US"/>
        </w:rPr>
        <w:t>a</w:t>
      </w:r>
      <w:r w:rsidRPr="008D4DFC">
        <w:rPr>
          <w:sz w:val="22"/>
          <w:szCs w:val="22"/>
          <w:lang w:val="en-US"/>
        </w:rPr>
        <w:t xml:space="preserve"> </w:t>
      </w:r>
      <w:r>
        <w:rPr>
          <w:sz w:val="22"/>
          <w:szCs w:val="22"/>
          <w:lang w:val="en-US"/>
        </w:rPr>
        <w:t xml:space="preserve">The </w:t>
      </w:r>
      <w:r w:rsidRPr="008D4DFC">
        <w:rPr>
          <w:sz w:val="18"/>
          <w:szCs w:val="18"/>
          <w:lang w:val="en-US"/>
        </w:rPr>
        <w:t xml:space="preserve">EIS composite includes chemical industry, </w:t>
      </w:r>
      <w:r>
        <w:rPr>
          <w:sz w:val="18"/>
          <w:szCs w:val="18"/>
          <w:lang w:val="en-US"/>
        </w:rPr>
        <w:t xml:space="preserve">non-metallic </w:t>
      </w:r>
      <w:r w:rsidRPr="008D4DFC">
        <w:rPr>
          <w:sz w:val="18"/>
          <w:szCs w:val="18"/>
          <w:lang w:val="en-US"/>
        </w:rPr>
        <w:t>mineral</w:t>
      </w:r>
      <w:r>
        <w:rPr>
          <w:sz w:val="18"/>
          <w:szCs w:val="18"/>
          <w:lang w:val="en-US"/>
        </w:rPr>
        <w:t>s</w:t>
      </w:r>
      <w:r w:rsidRPr="008D4DFC">
        <w:rPr>
          <w:sz w:val="18"/>
          <w:szCs w:val="18"/>
          <w:lang w:val="en-US"/>
        </w:rPr>
        <w:t>, non-ferrous metals, iron and steel industry, paper, pulp and print, as well as air transport (i.e., the non-energy EU ETS sectors).</w:t>
      </w:r>
    </w:p>
    <w:p w:rsidR="00D9026F" w:rsidRPr="008D4DFC" w:rsidRDefault="00D9026F" w:rsidP="00A413D8">
      <w:pPr>
        <w:jc w:val="both"/>
        <w:rPr>
          <w:sz w:val="18"/>
          <w:szCs w:val="18"/>
          <w:lang w:val="en-US"/>
        </w:rPr>
      </w:pPr>
      <w:r w:rsidRPr="008D4DFC">
        <w:rPr>
          <w:sz w:val="22"/>
          <w:szCs w:val="22"/>
          <w:vertAlign w:val="superscript"/>
          <w:lang w:val="en-US"/>
        </w:rPr>
        <w:t>b</w:t>
      </w:r>
      <w:r w:rsidRPr="008D4DFC">
        <w:rPr>
          <w:sz w:val="22"/>
          <w:szCs w:val="22"/>
          <w:lang w:val="en-US"/>
        </w:rPr>
        <w:t xml:space="preserve"> </w:t>
      </w:r>
      <w:r w:rsidRPr="008D4DFC">
        <w:rPr>
          <w:sz w:val="18"/>
          <w:szCs w:val="18"/>
          <w:lang w:val="en-US"/>
        </w:rPr>
        <w:t>OTP mainly includes road transport</w:t>
      </w:r>
    </w:p>
    <w:p w:rsidR="00D9026F" w:rsidRDefault="00D9026F" w:rsidP="00BD03CC">
      <w:pPr>
        <w:jc w:val="both"/>
        <w:rPr>
          <w:lang w:val="en-US"/>
        </w:rPr>
      </w:pPr>
    </w:p>
    <w:p w:rsidR="00D9026F" w:rsidRPr="008D4DFC" w:rsidRDefault="00D9026F" w:rsidP="00BD03CC">
      <w:pPr>
        <w:jc w:val="both"/>
        <w:rPr>
          <w:lang w:val="en-US"/>
        </w:rPr>
      </w:pPr>
      <w:r w:rsidRPr="008D4DFC">
        <w:rPr>
          <w:lang w:val="en-US"/>
        </w:rPr>
        <w:t>For the sectors and regions listed in Table 1 we generate marginal abatement cost functions through a sequence of hypothetical tax scenarios where we impose sector- and region-specific CO</w:t>
      </w:r>
      <w:r w:rsidRPr="008D4DFC">
        <w:rPr>
          <w:vertAlign w:val="subscript"/>
          <w:lang w:val="en-US"/>
        </w:rPr>
        <w:t>2</w:t>
      </w:r>
      <w:r w:rsidRPr="008D4DFC">
        <w:rPr>
          <w:lang w:val="en-US"/>
        </w:rPr>
        <w:t xml:space="preserve"> taxes starting from $0 to $100 per ton of CO</w:t>
      </w:r>
      <w:r w:rsidRPr="008D4DFC">
        <w:rPr>
          <w:vertAlign w:val="subscript"/>
          <w:lang w:val="en-US"/>
        </w:rPr>
        <w:t>2</w:t>
      </w:r>
      <w:r w:rsidRPr="008D4DFC">
        <w:rPr>
          <w:lang w:val="en-US"/>
        </w:rPr>
        <w:t xml:space="preserve"> in steps of $1 and then read off the CGE solution for the induced emission reduction. We then perform a least-square fit by a polynomial marginal abatement cost function of third degree to the set of “observations”:</w:t>
      </w:r>
      <w:r>
        <w:rPr>
          <w:lang w:val="en-US"/>
        </w:rPr>
        <w:t xml:space="preserve"> </w:t>
      </w:r>
    </w:p>
    <w:p w:rsidR="00D9026F" w:rsidRPr="008D4DFC" w:rsidRDefault="00D9026F" w:rsidP="00884933">
      <w:pPr>
        <w:pStyle w:val="Ligning"/>
        <w:rPr>
          <w:lang w:val="en-US"/>
        </w:rPr>
      </w:pPr>
      <w:r w:rsidRPr="008D4DFC">
        <w:rPr>
          <w:lang w:val="en-US"/>
        </w:rPr>
        <w:object w:dxaOrig="5880" w:dyaOrig="400">
          <v:shape id="_x0000_i1079" type="#_x0000_t75" style="width:273.75pt;height:20.4pt" o:ole="" fillcolor="window">
            <v:imagedata r:id="rId76" o:title=""/>
          </v:shape>
          <o:OLEObject Type="Embed" ProgID="Equation.DSMT4" ShapeID="_x0000_i1079" DrawAspect="Content" ObjectID="_1514967677" r:id="rId77"/>
        </w:object>
      </w:r>
      <w:r>
        <w:rPr>
          <w:lang w:val="en-US"/>
        </w:rPr>
        <w:tab/>
      </w:r>
      <w:r>
        <w:rPr>
          <w:lang w:val="en-US"/>
        </w:rPr>
        <w:tab/>
      </w:r>
      <w:r>
        <w:rPr>
          <w:lang w:val="en-US"/>
        </w:rPr>
        <w:tab/>
      </w:r>
      <w:r>
        <w:rPr>
          <w:lang w:val="en-US"/>
        </w:rPr>
        <w:tab/>
      </w:r>
      <w:r>
        <w:rPr>
          <w:lang w:val="en-US"/>
        </w:rPr>
        <w:tab/>
        <w:t>(9)</w:t>
      </w:r>
    </w:p>
    <w:p w:rsidR="00D9026F" w:rsidRPr="008D4DFC" w:rsidRDefault="00D9026F" w:rsidP="00BD03CC">
      <w:pPr>
        <w:jc w:val="both"/>
        <w:rPr>
          <w:lang w:val="en-US"/>
        </w:rPr>
      </w:pPr>
      <w:r w:rsidRPr="008D4DFC">
        <w:rPr>
          <w:lang w:val="en-US"/>
        </w:rPr>
        <w:t xml:space="preserve">where </w:t>
      </w:r>
    </w:p>
    <w:p w:rsidR="00D9026F" w:rsidRPr="00884933" w:rsidRDefault="00D9026F" w:rsidP="00884933">
      <w:pPr>
        <w:pStyle w:val="Ligning"/>
        <w:rPr>
          <w:rStyle w:val="label"/>
          <w:lang w:val="en-GB"/>
        </w:rPr>
      </w:pPr>
      <w:r w:rsidRPr="008D4DFC">
        <w:rPr>
          <w:position w:val="-14"/>
          <w:lang w:val="en-US"/>
        </w:rPr>
        <w:object w:dxaOrig="1060" w:dyaOrig="380">
          <v:shape id="_x0000_i1080" type="#_x0000_t75" style="width:50.95pt;height:16.3pt" o:ole="" fillcolor="window">
            <v:imagedata r:id="rId78" o:title=""/>
          </v:shape>
          <o:OLEObject Type="Embed" ProgID="Equation.DSMT4" ShapeID="_x0000_i1080" DrawAspect="Content" ObjectID="_1514967678" r:id="rId79"/>
        </w:object>
      </w:r>
      <w:r w:rsidRPr="008D4DFC">
        <w:rPr>
          <w:lang w:val="en-US"/>
        </w:rPr>
        <w:tab/>
      </w:r>
      <w:r w:rsidRPr="008D4DFC">
        <w:rPr>
          <w:lang w:val="en-US"/>
        </w:rPr>
        <w:tab/>
        <w:t xml:space="preserve">denotes the marginal abatement cost of sector </w:t>
      </w:r>
      <w:r w:rsidRPr="008D4DFC">
        <w:rPr>
          <w:i/>
          <w:lang w:val="en-US"/>
        </w:rPr>
        <w:t xml:space="preserve">s </w:t>
      </w:r>
      <w:r w:rsidRPr="008D4DFC">
        <w:rPr>
          <w:lang w:val="en-US"/>
        </w:rPr>
        <w:t xml:space="preserve">in region </w:t>
      </w:r>
      <w:r w:rsidRPr="008D4DFC">
        <w:rPr>
          <w:i/>
          <w:lang w:val="en-US"/>
        </w:rPr>
        <w:t>i</w:t>
      </w:r>
      <w:r w:rsidRPr="008D4DFC">
        <w:rPr>
          <w:lang w:val="en-US"/>
        </w:rPr>
        <w:t>,</w:t>
      </w:r>
    </w:p>
    <w:p w:rsidR="00D9026F" w:rsidRPr="008D4DFC" w:rsidRDefault="00D9026F" w:rsidP="00884933">
      <w:pPr>
        <w:pStyle w:val="Ligning"/>
        <w:rPr>
          <w:lang w:val="en-US"/>
        </w:rPr>
      </w:pPr>
      <w:r w:rsidRPr="008D4DFC">
        <w:rPr>
          <w:position w:val="-14"/>
          <w:lang w:val="en-US"/>
        </w:rPr>
        <w:object w:dxaOrig="320" w:dyaOrig="400">
          <v:shape id="_x0000_i1081" type="#_x0000_t75" style="width:14.95pt;height:20.4pt" o:ole="">
            <v:imagedata r:id="rId80" o:title=""/>
          </v:shape>
          <o:OLEObject Type="Embed" ProgID="Equation.DSMT4" ShapeID="_x0000_i1081" DrawAspect="Content" ObjectID="_1514967679" r:id="rId81"/>
        </w:object>
      </w:r>
      <w:r w:rsidRPr="008D4DFC">
        <w:rPr>
          <w:lang w:val="en-US"/>
        </w:rPr>
        <w:tab/>
      </w:r>
      <w:r w:rsidRPr="008D4DFC">
        <w:rPr>
          <w:lang w:val="en-US"/>
        </w:rPr>
        <w:tab/>
      </w:r>
      <w:r w:rsidRPr="008D4DFC">
        <w:rPr>
          <w:lang w:val="en-US"/>
        </w:rPr>
        <w:tab/>
        <w:t xml:space="preserve">is the business-as-usual emission level of sector </w:t>
      </w:r>
      <w:r w:rsidRPr="008D4DFC">
        <w:rPr>
          <w:i/>
          <w:lang w:val="en-US"/>
        </w:rPr>
        <w:t>s</w:t>
      </w:r>
      <w:r w:rsidRPr="008D4DFC">
        <w:rPr>
          <w:lang w:val="en-US"/>
        </w:rPr>
        <w:t xml:space="preserve"> in region </w:t>
      </w:r>
      <w:r w:rsidRPr="008D4DFC">
        <w:rPr>
          <w:i/>
          <w:lang w:val="en-US"/>
        </w:rPr>
        <w:t>i</w:t>
      </w:r>
      <w:r w:rsidRPr="008D4DFC">
        <w:rPr>
          <w:lang w:val="en-US"/>
        </w:rPr>
        <w:t xml:space="preserve">, </w:t>
      </w:r>
    </w:p>
    <w:p w:rsidR="00D9026F" w:rsidRPr="008D4DFC" w:rsidRDefault="00D9026F" w:rsidP="00884933">
      <w:pPr>
        <w:pStyle w:val="Ligning"/>
        <w:ind w:left="2155" w:hanging="2155"/>
        <w:rPr>
          <w:lang w:val="en-US"/>
        </w:rPr>
      </w:pPr>
      <w:r w:rsidRPr="008D4DFC">
        <w:rPr>
          <w:position w:val="-14"/>
          <w:lang w:val="en-US"/>
        </w:rPr>
        <w:object w:dxaOrig="320" w:dyaOrig="380">
          <v:shape id="_x0000_i1082" type="#_x0000_t75" style="width:14.95pt;height:16.3pt" o:ole="">
            <v:imagedata r:id="rId82" o:title=""/>
          </v:shape>
          <o:OLEObject Type="Embed" ProgID="Equation.DSMT4" ShapeID="_x0000_i1082" DrawAspect="Content" ObjectID="_1514967680" r:id="rId83"/>
        </w:object>
      </w:r>
      <w:r w:rsidRPr="008D4DFC">
        <w:rPr>
          <w:lang w:val="en-US"/>
        </w:rPr>
        <w:tab/>
        <w:t xml:space="preserve">is the emission level of sector </w:t>
      </w:r>
      <w:r w:rsidRPr="008D4DFC">
        <w:rPr>
          <w:i/>
          <w:lang w:val="en-US"/>
        </w:rPr>
        <w:t>s</w:t>
      </w:r>
      <w:r w:rsidRPr="008D4DFC">
        <w:rPr>
          <w:lang w:val="en-US"/>
        </w:rPr>
        <w:t xml:space="preserve"> in region </w:t>
      </w:r>
      <w:r w:rsidRPr="008D4DFC">
        <w:rPr>
          <w:i/>
          <w:lang w:val="en-US"/>
        </w:rPr>
        <w:t>i</w:t>
      </w:r>
      <w:r w:rsidRPr="008D4DFC">
        <w:rPr>
          <w:lang w:val="en-US"/>
        </w:rPr>
        <w:t xml:space="preserve"> at a CO</w:t>
      </w:r>
      <w:r w:rsidRPr="008D4DFC">
        <w:rPr>
          <w:vertAlign w:val="subscript"/>
          <w:lang w:val="en-US"/>
        </w:rPr>
        <w:t>2</w:t>
      </w:r>
      <w:r w:rsidRPr="008D4DFC">
        <w:rPr>
          <w:lang w:val="en-US"/>
        </w:rPr>
        <w:t xml:space="preserve"> price equal to </w:t>
      </w:r>
      <w:r w:rsidRPr="008D4DFC">
        <w:rPr>
          <w:position w:val="-14"/>
          <w:sz w:val="22"/>
          <w:lang w:val="en-US"/>
        </w:rPr>
        <w:object w:dxaOrig="1060" w:dyaOrig="380">
          <v:shape id="_x0000_i1083" type="#_x0000_t75" style="width:50.95pt;height:16.3pt" o:ole="" fillcolor="window">
            <v:imagedata r:id="rId84" o:title=""/>
          </v:shape>
          <o:OLEObject Type="Embed" ProgID="Equation.DSMT4" ShapeID="_x0000_i1083" DrawAspect="Content" ObjectID="_1514967681" r:id="rId85"/>
        </w:object>
      </w:r>
      <w:r w:rsidRPr="008D4DFC">
        <w:rPr>
          <w:lang w:val="en-US"/>
        </w:rPr>
        <w:t xml:space="preserve">, and </w:t>
      </w:r>
    </w:p>
    <w:p w:rsidR="00D9026F" w:rsidRPr="008D4DFC" w:rsidRDefault="00D9026F" w:rsidP="00BD03CC">
      <w:pPr>
        <w:ind w:left="2160" w:hanging="2160"/>
        <w:jc w:val="both"/>
        <w:rPr>
          <w:lang w:val="en-US"/>
        </w:rPr>
      </w:pPr>
      <w:r w:rsidRPr="008D4DFC">
        <w:rPr>
          <w:position w:val="-14"/>
          <w:lang w:val="en-US"/>
        </w:rPr>
        <w:object w:dxaOrig="440" w:dyaOrig="400">
          <v:shape id="_x0000_i1084" type="#_x0000_t75" style="width:20.4pt;height:20.4pt" o:ole="">
            <v:imagedata r:id="rId86" o:title=""/>
          </v:shape>
          <o:OLEObject Type="Embed" ProgID="Equation.DSMT4" ShapeID="_x0000_i1084" DrawAspect="Content" ObjectID="_1514967682" r:id="rId87"/>
        </w:object>
      </w:r>
      <w:r w:rsidRPr="008D4DFC">
        <w:rPr>
          <w:lang w:val="en-US"/>
        </w:rPr>
        <w:t xml:space="preserve">, </w:t>
      </w:r>
      <w:r w:rsidRPr="008D4DFC">
        <w:rPr>
          <w:position w:val="-14"/>
          <w:lang w:val="en-US"/>
        </w:rPr>
        <w:object w:dxaOrig="480" w:dyaOrig="400">
          <v:shape id="_x0000_i1085" type="#_x0000_t75" style="width:23.75pt;height:20.4pt" o:ole="">
            <v:imagedata r:id="rId88" o:title=""/>
          </v:shape>
          <o:OLEObject Type="Embed" ProgID="Equation.DSMT4" ShapeID="_x0000_i1085" DrawAspect="Content" ObjectID="_1514967683" r:id="rId89"/>
        </w:object>
      </w:r>
      <w:r w:rsidRPr="008D4DFC">
        <w:rPr>
          <w:lang w:val="en-US"/>
        </w:rPr>
        <w:t xml:space="preserve">, </w:t>
      </w:r>
      <w:r w:rsidRPr="008D4DFC">
        <w:rPr>
          <w:position w:val="-14"/>
          <w:lang w:val="en-US"/>
        </w:rPr>
        <w:object w:dxaOrig="460" w:dyaOrig="400">
          <v:shape id="_x0000_i1086" type="#_x0000_t75" style="width:23.75pt;height:20.4pt" o:ole="">
            <v:imagedata r:id="rId90" o:title=""/>
          </v:shape>
          <o:OLEObject Type="Embed" ProgID="Equation.DSMT4" ShapeID="_x0000_i1086" DrawAspect="Content" ObjectID="_1514967684" r:id="rId91"/>
        </w:object>
      </w:r>
      <w:r w:rsidRPr="008D4DFC">
        <w:rPr>
          <w:lang w:val="en-US"/>
        </w:rPr>
        <w:tab/>
        <w:t xml:space="preserve">are the fitted coefficients in the marginal abatement cost function of sector </w:t>
      </w:r>
      <w:r w:rsidRPr="008D4DFC">
        <w:rPr>
          <w:i/>
          <w:lang w:val="en-US"/>
        </w:rPr>
        <w:t>s</w:t>
      </w:r>
      <w:r w:rsidRPr="008D4DFC">
        <w:rPr>
          <w:lang w:val="en-US"/>
        </w:rPr>
        <w:t xml:space="preserve"> in region </w:t>
      </w:r>
      <w:r w:rsidRPr="008D4DFC">
        <w:rPr>
          <w:i/>
          <w:lang w:val="en-US"/>
        </w:rPr>
        <w:t>i</w:t>
      </w:r>
      <w:r w:rsidRPr="008D4DFC">
        <w:rPr>
          <w:lang w:val="en-US"/>
        </w:rPr>
        <w:t>.</w:t>
      </w:r>
    </w:p>
    <w:p w:rsidR="00D9026F" w:rsidRPr="008D4DFC" w:rsidRDefault="00D9026F" w:rsidP="00BD03CC">
      <w:pPr>
        <w:jc w:val="both"/>
        <w:rPr>
          <w:lang w:val="en-US"/>
        </w:rPr>
      </w:pPr>
    </w:p>
    <w:p w:rsidR="00D9026F" w:rsidRDefault="00D9026F" w:rsidP="006C0B08">
      <w:pPr>
        <w:jc w:val="both"/>
        <w:rPr>
          <w:lang w:val="en-US"/>
        </w:rPr>
      </w:pPr>
      <w:r>
        <w:rPr>
          <w:lang w:val="en-US"/>
        </w:rPr>
        <w:t xml:space="preserve">The estimated parameters are displayed in Appendix B, where we also show the corresponding </w:t>
      </w:r>
      <w:r w:rsidRPr="00E13035">
        <w:rPr>
          <w:i/>
          <w:lang w:val="en-US"/>
        </w:rPr>
        <w:t>MC</w:t>
      </w:r>
      <w:r>
        <w:rPr>
          <w:lang w:val="en-US"/>
        </w:rPr>
        <w:t>-curves for the ELE and EIS sectors for selected countries.</w:t>
      </w:r>
    </w:p>
    <w:p w:rsidR="00D9026F" w:rsidRDefault="00D9026F" w:rsidP="00BD03CC">
      <w:pPr>
        <w:jc w:val="both"/>
        <w:rPr>
          <w:lang w:val="en-US"/>
        </w:rPr>
      </w:pPr>
    </w:p>
    <w:p w:rsidR="00D9026F" w:rsidRDefault="00D9026F" w:rsidP="00BD03CC">
      <w:pPr>
        <w:jc w:val="both"/>
        <w:rPr>
          <w:lang w:val="en-US"/>
        </w:rPr>
      </w:pPr>
      <w:r w:rsidRPr="008D4DFC">
        <w:rPr>
          <w:lang w:val="en-US"/>
        </w:rPr>
        <w:t>Table 2 details projected business-as-usual (BaU) CO</w:t>
      </w:r>
      <w:r w:rsidRPr="008D4DFC">
        <w:rPr>
          <w:vertAlign w:val="subscript"/>
          <w:lang w:val="en-US"/>
        </w:rPr>
        <w:t>2</w:t>
      </w:r>
      <w:r w:rsidRPr="008D4DFC">
        <w:rPr>
          <w:lang w:val="en-US"/>
        </w:rPr>
        <w:t xml:space="preserve"> emissions in 2020 together with emission reduction targets from 2020 BaU levels across model regions.</w:t>
      </w:r>
      <w:r w:rsidRPr="003616FF">
        <w:rPr>
          <w:lang w:val="en-US"/>
        </w:rPr>
        <w:t xml:space="preserve"> </w:t>
      </w:r>
      <w:r>
        <w:rPr>
          <w:lang w:val="en-US"/>
        </w:rPr>
        <w:t>We have derived t</w:t>
      </w:r>
      <w:r w:rsidRPr="008D4DFC">
        <w:rPr>
          <w:lang w:val="en-US"/>
        </w:rPr>
        <w:t xml:space="preserve">he </w:t>
      </w:r>
      <w:r>
        <w:rPr>
          <w:lang w:val="en-US"/>
        </w:rPr>
        <w:t>p</w:t>
      </w:r>
      <w:r w:rsidRPr="008D4DFC">
        <w:rPr>
          <w:lang w:val="en-US"/>
        </w:rPr>
        <w:t xml:space="preserve">ost-Kyoto reduction pledges </w:t>
      </w:r>
      <w:r>
        <w:rPr>
          <w:lang w:val="en-US"/>
        </w:rPr>
        <w:t>for</w:t>
      </w:r>
      <w:r w:rsidRPr="008D4DFC">
        <w:rPr>
          <w:lang w:val="en-US"/>
        </w:rPr>
        <w:t xml:space="preserve"> 2020</w:t>
      </w:r>
      <w:r>
        <w:rPr>
          <w:lang w:val="en-US"/>
        </w:rPr>
        <w:t xml:space="preserve"> from</w:t>
      </w:r>
      <w:r w:rsidRPr="008D4DFC">
        <w:rPr>
          <w:lang w:val="en-US"/>
        </w:rPr>
        <w:t xml:space="preserve"> national communications following the Copenhagen Accord (UNFCCC, 20</w:t>
      </w:r>
      <w:r>
        <w:rPr>
          <w:lang w:val="en-US"/>
        </w:rPr>
        <w:t>10</w:t>
      </w:r>
      <w:r w:rsidRPr="008D4DFC">
        <w:rPr>
          <w:lang w:val="en-US"/>
        </w:rPr>
        <w:t xml:space="preserve">). The Copenhagen Accord requested Annex I countries to submit their “quantified economy-wide targets for 2020” and the non-Annex I countries to announce their “nationally appropriate mitigating actions”. </w:t>
      </w:r>
      <w:r>
        <w:rPr>
          <w:lang w:val="en-US"/>
        </w:rPr>
        <w:t xml:space="preserve">Appendix C lays out </w:t>
      </w:r>
      <w:r w:rsidRPr="008D4DFC">
        <w:rPr>
          <w:lang w:val="en-US"/>
        </w:rPr>
        <w:t>how we derived emission reductions targets for our model regions based on national communications to the Copenhagen Accord.</w:t>
      </w:r>
    </w:p>
    <w:p w:rsidR="00D9026F" w:rsidRPr="008D4DFC" w:rsidRDefault="00D9026F" w:rsidP="00014F22">
      <w:pPr>
        <w:spacing w:before="240" w:after="120"/>
        <w:ind w:left="902" w:hanging="902"/>
        <w:jc w:val="both"/>
        <w:rPr>
          <w:bCs/>
          <w:lang w:val="en-US"/>
        </w:rPr>
      </w:pPr>
      <w:r w:rsidRPr="008D4DFC">
        <w:rPr>
          <w:bCs/>
          <w:lang w:val="en-US"/>
        </w:rPr>
        <w:t>Table 2:</w:t>
      </w:r>
      <w:r w:rsidRPr="008D4DFC">
        <w:rPr>
          <w:bCs/>
          <w:lang w:val="en-US"/>
        </w:rPr>
        <w:tab/>
        <w:t>Business-as-usual emissions in 2020 and emission reduction pledges</w:t>
      </w:r>
      <w:r w:rsidRPr="008D4DFC" w:rsidDel="00634C17">
        <w:rPr>
          <w:bCs/>
          <w:lang w:val="en-US"/>
        </w:rPr>
        <w:t xml:space="preserve"> </w:t>
      </w:r>
    </w:p>
    <w:tbl>
      <w:tblPr>
        <w:tblW w:w="0" w:type="auto"/>
        <w:jc w:val="center"/>
        <w:tblInd w:w="-3963" w:type="dxa"/>
        <w:tblBorders>
          <w:top w:val="single" w:sz="12" w:space="0" w:color="008000"/>
          <w:bottom w:val="single" w:sz="12" w:space="0" w:color="008000"/>
        </w:tblBorders>
        <w:tblLayout w:type="fixed"/>
        <w:tblLook w:val="00A0" w:firstRow="1" w:lastRow="0" w:firstColumn="1" w:lastColumn="0" w:noHBand="0" w:noVBand="0"/>
      </w:tblPr>
      <w:tblGrid>
        <w:gridCol w:w="2870"/>
        <w:gridCol w:w="2546"/>
        <w:gridCol w:w="3489"/>
      </w:tblGrid>
      <w:tr w:rsidR="00D9026F" w:rsidRPr="00C65957" w:rsidTr="00FE7814">
        <w:trPr>
          <w:trHeight w:val="300"/>
          <w:jc w:val="center"/>
        </w:trPr>
        <w:tc>
          <w:tcPr>
            <w:tcW w:w="2870" w:type="dxa"/>
            <w:tcBorders>
              <w:top w:val="single" w:sz="12" w:space="0" w:color="008000"/>
              <w:bottom w:val="single" w:sz="6" w:space="0" w:color="008000"/>
            </w:tcBorders>
            <w:noWrap/>
          </w:tcPr>
          <w:p w:rsidR="00D9026F" w:rsidRPr="008D4DFC" w:rsidRDefault="00D9026F" w:rsidP="00475702">
            <w:pPr>
              <w:spacing w:before="40" w:after="40" w:line="240" w:lineRule="auto"/>
              <w:jc w:val="both"/>
              <w:rPr>
                <w:color w:val="000000"/>
                <w:lang w:val="en-US" w:eastAsia="en-GB"/>
              </w:rPr>
            </w:pPr>
          </w:p>
        </w:tc>
        <w:tc>
          <w:tcPr>
            <w:tcW w:w="2546" w:type="dxa"/>
            <w:tcBorders>
              <w:top w:val="single" w:sz="12" w:space="0" w:color="008000"/>
              <w:bottom w:val="single" w:sz="6" w:space="0" w:color="008000"/>
            </w:tcBorders>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 xml:space="preserve">2020 BaU emissions </w:t>
            </w:r>
            <w:r w:rsidRPr="008D4DFC">
              <w:rPr>
                <w:color w:val="000000"/>
                <w:lang w:val="en-US" w:eastAsia="en-GB"/>
              </w:rPr>
              <w:br/>
              <w:t>(in Mt CO</w:t>
            </w:r>
            <w:r w:rsidRPr="008D4DFC">
              <w:rPr>
                <w:color w:val="000000"/>
                <w:vertAlign w:val="subscript"/>
                <w:lang w:val="en-US" w:eastAsia="en-GB"/>
              </w:rPr>
              <w:t>2)</w:t>
            </w:r>
          </w:p>
        </w:tc>
        <w:tc>
          <w:tcPr>
            <w:tcW w:w="3489" w:type="dxa"/>
            <w:tcBorders>
              <w:top w:val="single" w:sz="12" w:space="0" w:color="008000"/>
              <w:bottom w:val="single" w:sz="6" w:space="0" w:color="008000"/>
            </w:tcBorders>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 xml:space="preserve">Reduction pledge </w:t>
            </w:r>
            <w:r w:rsidRPr="008D4DFC">
              <w:rPr>
                <w:color w:val="000000"/>
                <w:lang w:val="en-US" w:eastAsia="en-GB"/>
              </w:rPr>
              <w:br/>
              <w:t>(in % from 2020 BaU emissions)</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EU-27 (EUR)</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4450</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25.4</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USA (USA)</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5982</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17.1</w:t>
            </w:r>
          </w:p>
        </w:tc>
      </w:tr>
      <w:tr w:rsidR="00D9026F" w:rsidRPr="008D4DFC" w:rsidTr="00FE7814">
        <w:trPr>
          <w:trHeight w:val="331"/>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Canada (CAN)</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675</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22.7</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Japan (JPN)</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1219</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35.2</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Russian Federation (RUS)</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1945</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7.7</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Australia (AUS)</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491</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24.7</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China (CHN)</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9417</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5.0</w:t>
            </w:r>
          </w:p>
        </w:tc>
      </w:tr>
      <w:tr w:rsidR="00D9026F" w:rsidRPr="008D4DFC" w:rsidTr="00FE7814">
        <w:trPr>
          <w:trHeight w:val="461"/>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India (IND)</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1783</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5.0</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Brazil (BRA)</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543</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17.1</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Mexico (MEX)</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466</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17.1</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South Africa (ZAF)</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502</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17.1</w:t>
            </w:r>
          </w:p>
        </w:tc>
      </w:tr>
      <w:tr w:rsidR="00D9026F" w:rsidRPr="008D4DFC" w:rsidTr="00FE7814">
        <w:trPr>
          <w:trHeight w:val="300"/>
          <w:jc w:val="center"/>
        </w:trPr>
        <w:tc>
          <w:tcPr>
            <w:tcW w:w="2870" w:type="dxa"/>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South Korea (KOR)</w:t>
            </w:r>
          </w:p>
        </w:tc>
        <w:tc>
          <w:tcPr>
            <w:tcW w:w="2546"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617</w:t>
            </w:r>
          </w:p>
        </w:tc>
        <w:tc>
          <w:tcPr>
            <w:tcW w:w="3489" w:type="dxa"/>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17.1</w:t>
            </w:r>
          </w:p>
        </w:tc>
      </w:tr>
      <w:tr w:rsidR="00D9026F" w:rsidRPr="008D4DFC" w:rsidTr="00FE7814">
        <w:trPr>
          <w:trHeight w:val="300"/>
          <w:jc w:val="center"/>
        </w:trPr>
        <w:tc>
          <w:tcPr>
            <w:tcW w:w="2870" w:type="dxa"/>
            <w:tcBorders>
              <w:bottom w:val="single" w:sz="12" w:space="0" w:color="008000"/>
            </w:tcBorders>
            <w:noWrap/>
          </w:tcPr>
          <w:p w:rsidR="00D9026F" w:rsidRPr="008D4DFC" w:rsidRDefault="00D9026F" w:rsidP="00475702">
            <w:pPr>
              <w:spacing w:before="40" w:after="40" w:line="240" w:lineRule="auto"/>
              <w:jc w:val="both"/>
              <w:rPr>
                <w:color w:val="000000"/>
                <w:lang w:val="en-US" w:eastAsia="en-GB"/>
              </w:rPr>
            </w:pPr>
            <w:r w:rsidRPr="008D4DFC">
              <w:rPr>
                <w:color w:val="000000"/>
                <w:lang w:val="en-US" w:eastAsia="en-GB"/>
              </w:rPr>
              <w:t>Rest of the World (ROW)</w:t>
            </w:r>
          </w:p>
        </w:tc>
        <w:tc>
          <w:tcPr>
            <w:tcW w:w="2546" w:type="dxa"/>
            <w:tcBorders>
              <w:bottom w:val="single" w:sz="12" w:space="0" w:color="008000"/>
            </w:tcBorders>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7338</w:t>
            </w:r>
          </w:p>
        </w:tc>
        <w:tc>
          <w:tcPr>
            <w:tcW w:w="3489" w:type="dxa"/>
            <w:tcBorders>
              <w:bottom w:val="single" w:sz="12" w:space="0" w:color="008000"/>
            </w:tcBorders>
            <w:noWrap/>
          </w:tcPr>
          <w:p w:rsidR="00D9026F" w:rsidRPr="008D4DFC" w:rsidRDefault="00D9026F" w:rsidP="00475702">
            <w:pPr>
              <w:spacing w:before="40" w:after="40" w:line="240" w:lineRule="auto"/>
              <w:jc w:val="right"/>
              <w:rPr>
                <w:color w:val="000000"/>
                <w:lang w:val="en-US" w:eastAsia="en-GB"/>
              </w:rPr>
            </w:pPr>
            <w:r w:rsidRPr="008D4DFC">
              <w:rPr>
                <w:color w:val="000000"/>
                <w:lang w:val="en-US" w:eastAsia="en-GB"/>
              </w:rPr>
              <w:t>5.0</w:t>
            </w:r>
          </w:p>
        </w:tc>
      </w:tr>
    </w:tbl>
    <w:p w:rsidR="00D9026F" w:rsidRPr="008D4DFC" w:rsidRDefault="00D9026F" w:rsidP="00BD03CC">
      <w:pPr>
        <w:jc w:val="both"/>
        <w:rPr>
          <w:lang w:val="en-US"/>
        </w:rPr>
      </w:pPr>
    </w:p>
    <w:p w:rsidR="00D9026F" w:rsidRPr="008D4DFC" w:rsidRDefault="00D9026F" w:rsidP="00BD03CC">
      <w:pPr>
        <w:pStyle w:val="Heading1"/>
        <w:jc w:val="both"/>
        <w:rPr>
          <w:lang w:val="en-US"/>
        </w:rPr>
      </w:pPr>
      <w:r w:rsidRPr="008D4DFC">
        <w:rPr>
          <w:lang w:val="en-US"/>
        </w:rPr>
        <w:lastRenderedPageBreak/>
        <w:t>4. Policy Scenarios and Results</w:t>
      </w:r>
    </w:p>
    <w:p w:rsidR="00D9026F" w:rsidRPr="008D4DFC" w:rsidRDefault="00D9026F" w:rsidP="00BD03CC">
      <w:pPr>
        <w:jc w:val="both"/>
        <w:rPr>
          <w:lang w:val="en-US"/>
        </w:rPr>
      </w:pPr>
      <w:r w:rsidRPr="008D4DFC">
        <w:rPr>
          <w:lang w:val="en-US"/>
        </w:rPr>
        <w:t>We use the numerical model to assess the prospects for expanding international emissions trading by regions and sectors.</w:t>
      </w:r>
      <w:r w:rsidRPr="008D4DFC">
        <w:rPr>
          <w:rStyle w:val="FootnoteReference"/>
          <w:lang w:val="en-US"/>
        </w:rPr>
        <w:footnoteReference w:id="15"/>
      </w:r>
      <w:r w:rsidRPr="008D4DFC">
        <w:rPr>
          <w:lang w:val="en-US"/>
        </w:rPr>
        <w:t xml:space="preserve"> </w:t>
      </w:r>
      <w:r>
        <w:rPr>
          <w:lang w:val="en-US"/>
        </w:rPr>
        <w:t xml:space="preserve">The pledges in Table 2 are considered fixed in our simulations. </w:t>
      </w:r>
      <w:r w:rsidRPr="00A87CDB">
        <w:rPr>
          <w:lang w:val="en-GB"/>
        </w:rPr>
        <w:t xml:space="preserve">These pledges might have been strategically chosen by individual countries. We can then think of our simulations as analyzing the effects of important </w:t>
      </w:r>
      <w:r>
        <w:rPr>
          <w:lang w:val="en-GB"/>
        </w:rPr>
        <w:t xml:space="preserve">subsequent </w:t>
      </w:r>
      <w:r w:rsidRPr="00A87CDB">
        <w:rPr>
          <w:lang w:val="en-GB"/>
        </w:rPr>
        <w:t>domestic climate policy design decisions, i.e., if countries should link their emissions trading systems, implemented to fulfil their pledges.</w:t>
      </w:r>
      <w:r>
        <w:rPr>
          <w:lang w:val="en-US"/>
        </w:rPr>
        <w:t xml:space="preserve"> </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With respect to regional ETS coverage, we begin from a core coalition comprising the EU and the USA as major climate policy players in the industrialized world (coalition C1). The first expansion includes in addition Japan, Canada and Australia – Annex 1 countries that have planned or already implemented emissions trading systems at the domestic level (coalition C2). The next coalition (C3) adds Russia and OECD regions South Korea and Mexico. Inclusion of the key non-Annex B regions Brazil, India, China, and South Africa </w:t>
      </w:r>
      <w:r>
        <w:rPr>
          <w:lang w:val="en-US"/>
        </w:rPr>
        <w:t xml:space="preserve">(the so-called BASIC countries) </w:t>
      </w:r>
      <w:r w:rsidRPr="008D4DFC">
        <w:rPr>
          <w:lang w:val="en-US"/>
        </w:rPr>
        <w:t xml:space="preserve">is captured through coalition C4. </w:t>
      </w:r>
      <w:r>
        <w:rPr>
          <w:lang w:val="en-US"/>
        </w:rPr>
        <w:t>F</w:t>
      </w:r>
      <w:r w:rsidRPr="008D4DFC">
        <w:rPr>
          <w:lang w:val="en-US"/>
        </w:rPr>
        <w:t>inally</w:t>
      </w:r>
      <w:r>
        <w:rPr>
          <w:lang w:val="en-US"/>
        </w:rPr>
        <w:t>,</w:t>
      </w:r>
      <w:r w:rsidRPr="008D4DFC">
        <w:rPr>
          <w:lang w:val="en-US"/>
        </w:rPr>
        <w:t xml:space="preserve"> </w:t>
      </w:r>
      <w:r>
        <w:rPr>
          <w:lang w:val="en-US"/>
        </w:rPr>
        <w:t>f</w:t>
      </w:r>
      <w:r w:rsidRPr="008D4DFC">
        <w:rPr>
          <w:lang w:val="en-US"/>
        </w:rPr>
        <w:t>ull global coverage is achieved through the addition of ROW representing all other world regions (CE-World). We do not, however, consider strategic behavior by ROW</w:t>
      </w:r>
      <w:r>
        <w:rPr>
          <w:lang w:val="en-US"/>
        </w:rPr>
        <w:t>,</w:t>
      </w:r>
      <w:r w:rsidRPr="008D4DFC">
        <w:rPr>
          <w:lang w:val="en-US"/>
        </w:rPr>
        <w:t xml:space="preserve"> accounting for the heterogeneity and the large number of embodied countries.</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With respect to sectoral ETS coverage, we first consider the extreme case that no sector is included in the ETS. This setting is equivalent to exclusively domestic abatement without international emissions trading. In the next step (</w:t>
      </w:r>
      <w:r w:rsidRPr="008D4DFC">
        <w:rPr>
          <w:i/>
          <w:lang w:val="en-US"/>
        </w:rPr>
        <w:t>ELE</w:t>
      </w:r>
      <w:r w:rsidRPr="008D4DFC">
        <w:rPr>
          <w:lang w:val="en-US"/>
        </w:rPr>
        <w:t>) the power generation sector, which is by far the most important source of CO</w:t>
      </w:r>
      <w:r w:rsidRPr="008D4DFC">
        <w:rPr>
          <w:vertAlign w:val="subscript"/>
          <w:lang w:val="en-US"/>
        </w:rPr>
        <w:t>2</w:t>
      </w:r>
      <w:r w:rsidRPr="008D4DFC">
        <w:rPr>
          <w:lang w:val="en-US"/>
        </w:rPr>
        <w:t xml:space="preserve"> emissions across all countries, can trade emission allowances internationally.</w:t>
      </w:r>
      <w:r>
        <w:rPr>
          <w:rStyle w:val="FootnoteReference"/>
        </w:rPr>
        <w:footnoteReference w:id="16"/>
      </w:r>
      <w:r w:rsidRPr="008D4DFC">
        <w:rPr>
          <w:lang w:val="en-US"/>
        </w:rPr>
        <w:t xml:space="preserve"> Variant </w:t>
      </w:r>
      <w:r w:rsidRPr="008D4DFC">
        <w:rPr>
          <w:i/>
          <w:lang w:val="en-US"/>
        </w:rPr>
        <w:t>EIS</w:t>
      </w:r>
      <w:r w:rsidRPr="008D4DFC">
        <w:rPr>
          <w:lang w:val="en-US"/>
        </w:rPr>
        <w:t xml:space="preserve"> adds the other energy sectors and all energy-intensive industries </w:t>
      </w:r>
      <w:r>
        <w:rPr>
          <w:lang w:val="en-US"/>
        </w:rPr>
        <w:t xml:space="preserve">(and air transport) </w:t>
      </w:r>
      <w:r w:rsidRPr="008D4DFC">
        <w:rPr>
          <w:lang w:val="en-US"/>
        </w:rPr>
        <w:t>to the ETS reflecting the current coverage of the ETS in Europe (i.e., sectors COL, CRU, GAS, OIL and EIS in Table 1). We then sequentially add CO</w:t>
      </w:r>
      <w:r w:rsidRPr="008D4DFC">
        <w:rPr>
          <w:vertAlign w:val="subscript"/>
          <w:lang w:val="en-US"/>
        </w:rPr>
        <w:t>2</w:t>
      </w:r>
      <w:r w:rsidRPr="008D4DFC">
        <w:rPr>
          <w:lang w:val="en-US"/>
        </w:rPr>
        <w:t xml:space="preserve">-intensive transport sectors (variants </w:t>
      </w:r>
      <w:r w:rsidRPr="008D4DFC">
        <w:rPr>
          <w:i/>
          <w:lang w:val="en-US"/>
        </w:rPr>
        <w:t>OTP</w:t>
      </w:r>
      <w:r w:rsidRPr="008D4DFC">
        <w:rPr>
          <w:lang w:val="en-US"/>
        </w:rPr>
        <w:t xml:space="preserve"> and </w:t>
      </w:r>
      <w:r w:rsidRPr="008D4DFC">
        <w:rPr>
          <w:i/>
          <w:lang w:val="en-US"/>
        </w:rPr>
        <w:t>WTP</w:t>
      </w:r>
      <w:r w:rsidRPr="008D4DFC">
        <w:rPr>
          <w:lang w:val="en-US"/>
        </w:rPr>
        <w:t>) to the ETS, and furthermore consider the rest of industry (</w:t>
      </w:r>
      <w:r w:rsidRPr="008D4DFC">
        <w:rPr>
          <w:i/>
          <w:lang w:val="en-US"/>
        </w:rPr>
        <w:t>ROI</w:t>
      </w:r>
      <w:r w:rsidRPr="008D4DFC">
        <w:rPr>
          <w:lang w:val="en-US"/>
        </w:rPr>
        <w:t xml:space="preserve">) as a segment to be added to the ETS. The final addition to the ETS is made through final demand (variant </w:t>
      </w:r>
      <w:r w:rsidRPr="008D4DFC">
        <w:rPr>
          <w:i/>
          <w:lang w:val="en-US"/>
        </w:rPr>
        <w:t>C</w:t>
      </w:r>
      <w:r w:rsidRPr="008D4DFC">
        <w:rPr>
          <w:lang w:val="en-US"/>
        </w:rPr>
        <w:t xml:space="preserve">) which </w:t>
      </w:r>
      <w:r>
        <w:rPr>
          <w:lang w:val="en-US"/>
        </w:rPr>
        <w:t xml:space="preserve">results in </w:t>
      </w:r>
      <w:r w:rsidRPr="008D4DFC">
        <w:rPr>
          <w:lang w:val="en-US"/>
        </w:rPr>
        <w:t xml:space="preserve">full coverage of domestic emissions </w:t>
      </w:r>
      <w:r w:rsidRPr="008D4DFC">
        <w:rPr>
          <w:lang w:val="en-US"/>
        </w:rPr>
        <w:lastRenderedPageBreak/>
        <w:t xml:space="preserve">by the ETS. In this variant </w:t>
      </w:r>
      <w:r w:rsidRPr="008D4DFC">
        <w:rPr>
          <w:i/>
          <w:lang w:val="en-US"/>
        </w:rPr>
        <w:t>C</w:t>
      </w:r>
      <w:r w:rsidRPr="008D4DFC">
        <w:rPr>
          <w:lang w:val="en-US"/>
        </w:rPr>
        <w:t xml:space="preserve"> there is no possibility to undertake strategic partitioning and we thus obtain the outcome of competitive emissions trading.</w:t>
      </w:r>
      <w:r>
        <w:rPr>
          <w:lang w:val="en-US"/>
        </w:rPr>
        <w:t xml:space="preserve"> </w:t>
      </w:r>
    </w:p>
    <w:p w:rsidR="00D9026F" w:rsidRPr="00014F22" w:rsidRDefault="00D9026F" w:rsidP="00014F22">
      <w:pPr>
        <w:spacing w:before="240" w:after="120"/>
        <w:ind w:left="902" w:hanging="902"/>
        <w:jc w:val="both"/>
        <w:rPr>
          <w:bCs/>
          <w:lang w:val="en-US"/>
        </w:rPr>
      </w:pPr>
      <w:r w:rsidRPr="008D4DFC">
        <w:rPr>
          <w:bCs/>
          <w:lang w:val="en-US"/>
        </w:rPr>
        <w:t>Table 3:</w:t>
      </w:r>
      <w:r w:rsidRPr="008D4DFC">
        <w:rPr>
          <w:bCs/>
          <w:lang w:val="en-US"/>
        </w:rPr>
        <w:tab/>
        <w:t>Regional and sectoral coverage of international emissions trading scenarios</w:t>
      </w:r>
      <w:r w:rsidRPr="008D4DFC" w:rsidDel="00634C17">
        <w:rPr>
          <w:bCs/>
          <w:lang w:val="en-US"/>
        </w:rPr>
        <w:t xml:space="preserve"> </w:t>
      </w:r>
    </w:p>
    <w:tbl>
      <w:tblPr>
        <w:tblW w:w="9685" w:type="dxa"/>
        <w:tblBorders>
          <w:top w:val="single" w:sz="12" w:space="0" w:color="008000"/>
          <w:bottom w:val="single" w:sz="12" w:space="0" w:color="008000"/>
        </w:tblBorders>
        <w:tblLook w:val="0020" w:firstRow="1" w:lastRow="0" w:firstColumn="0" w:lastColumn="0" w:noHBand="0" w:noVBand="0"/>
      </w:tblPr>
      <w:tblGrid>
        <w:gridCol w:w="1255"/>
        <w:gridCol w:w="4253"/>
        <w:gridCol w:w="696"/>
        <w:gridCol w:w="3481"/>
      </w:tblGrid>
      <w:tr w:rsidR="00D9026F" w:rsidRPr="008D4DFC" w:rsidTr="0084685C">
        <w:tc>
          <w:tcPr>
            <w:tcW w:w="5508" w:type="dxa"/>
            <w:gridSpan w:val="2"/>
            <w:tcBorders>
              <w:top w:val="single" w:sz="12" w:space="0" w:color="008000"/>
              <w:bottom w:val="single" w:sz="6" w:space="0" w:color="008000"/>
            </w:tcBorders>
          </w:tcPr>
          <w:p w:rsidR="00D9026F" w:rsidRPr="0084685C" w:rsidRDefault="00D9026F" w:rsidP="0084685C">
            <w:pPr>
              <w:spacing w:before="60" w:after="60" w:line="240" w:lineRule="auto"/>
              <w:jc w:val="both"/>
              <w:rPr>
                <w:lang w:val="en-US"/>
              </w:rPr>
            </w:pPr>
            <w:r w:rsidRPr="0084685C">
              <w:rPr>
                <w:lang w:val="en-US"/>
              </w:rPr>
              <w:t>Regional coverage (coalitions)</w:t>
            </w:r>
          </w:p>
        </w:tc>
        <w:tc>
          <w:tcPr>
            <w:tcW w:w="4177" w:type="dxa"/>
            <w:gridSpan w:val="2"/>
            <w:tcBorders>
              <w:top w:val="single" w:sz="12" w:space="0" w:color="008000"/>
              <w:bottom w:val="single" w:sz="6" w:space="0" w:color="008000"/>
            </w:tcBorders>
          </w:tcPr>
          <w:p w:rsidR="00D9026F" w:rsidRPr="0084685C" w:rsidRDefault="00D9026F" w:rsidP="0084685C">
            <w:pPr>
              <w:spacing w:before="60" w:after="60" w:line="240" w:lineRule="auto"/>
              <w:jc w:val="both"/>
              <w:rPr>
                <w:lang w:val="en-US"/>
              </w:rPr>
            </w:pPr>
            <w:r w:rsidRPr="0084685C">
              <w:rPr>
                <w:lang w:val="en-US"/>
              </w:rPr>
              <w:t>Sectoral coverage</w:t>
            </w:r>
            <w:r w:rsidRPr="0084685C">
              <w:rPr>
                <w:bCs/>
                <w:vertAlign w:val="superscript"/>
                <w:lang w:val="en-US"/>
              </w:rPr>
              <w:t>a</w:t>
            </w:r>
          </w:p>
        </w:tc>
      </w:tr>
      <w:tr w:rsidR="00D9026F" w:rsidRPr="008D4DFC" w:rsidTr="0084685C">
        <w:tc>
          <w:tcPr>
            <w:tcW w:w="1255" w:type="dxa"/>
          </w:tcPr>
          <w:p w:rsidR="00D9026F" w:rsidRPr="0084685C" w:rsidRDefault="00D9026F" w:rsidP="0084685C">
            <w:pPr>
              <w:spacing w:before="40" w:after="120" w:line="240" w:lineRule="auto"/>
              <w:jc w:val="both"/>
              <w:rPr>
                <w:lang w:val="en-US"/>
              </w:rPr>
            </w:pPr>
            <w:r w:rsidRPr="0084685C">
              <w:rPr>
                <w:lang w:val="en-US"/>
              </w:rPr>
              <w:t>No trade</w:t>
            </w:r>
          </w:p>
        </w:tc>
        <w:tc>
          <w:tcPr>
            <w:tcW w:w="4253" w:type="dxa"/>
          </w:tcPr>
          <w:p w:rsidR="00D9026F" w:rsidRPr="0084685C" w:rsidRDefault="00D9026F" w:rsidP="0084685C">
            <w:pPr>
              <w:spacing w:before="40" w:after="120" w:line="240" w:lineRule="auto"/>
              <w:jc w:val="both"/>
              <w:rPr>
                <w:lang w:val="en-US"/>
              </w:rPr>
            </w:pPr>
            <w:r w:rsidRPr="0084685C">
              <w:rPr>
                <w:lang w:val="en-US"/>
              </w:rPr>
              <w:t>None</w:t>
            </w:r>
          </w:p>
        </w:tc>
        <w:tc>
          <w:tcPr>
            <w:tcW w:w="696" w:type="dxa"/>
          </w:tcPr>
          <w:p w:rsidR="00D9026F" w:rsidRPr="0084685C" w:rsidRDefault="00D9026F" w:rsidP="0084685C">
            <w:pPr>
              <w:spacing w:before="40" w:after="120" w:line="240" w:lineRule="auto"/>
              <w:jc w:val="both"/>
              <w:rPr>
                <w:iCs/>
                <w:lang w:val="en-US"/>
              </w:rPr>
            </w:pPr>
          </w:p>
        </w:tc>
        <w:tc>
          <w:tcPr>
            <w:tcW w:w="3481" w:type="dxa"/>
          </w:tcPr>
          <w:p w:rsidR="00D9026F" w:rsidRPr="0084685C" w:rsidRDefault="00D9026F" w:rsidP="0084685C">
            <w:pPr>
              <w:spacing w:before="40" w:after="120" w:line="240" w:lineRule="auto"/>
              <w:jc w:val="both"/>
              <w:rPr>
                <w:lang w:val="en-US"/>
              </w:rPr>
            </w:pPr>
            <w:r w:rsidRPr="0084685C">
              <w:rPr>
                <w:iCs/>
                <w:lang w:val="en-US"/>
              </w:rPr>
              <w:t>None</w:t>
            </w:r>
          </w:p>
        </w:tc>
      </w:tr>
      <w:tr w:rsidR="00D9026F" w:rsidRPr="008D4DFC" w:rsidTr="0084685C">
        <w:tc>
          <w:tcPr>
            <w:tcW w:w="1255" w:type="dxa"/>
          </w:tcPr>
          <w:p w:rsidR="00D9026F" w:rsidRPr="0084685C" w:rsidRDefault="00D9026F" w:rsidP="0084685C">
            <w:pPr>
              <w:spacing w:before="40" w:after="120" w:line="240" w:lineRule="auto"/>
              <w:jc w:val="both"/>
              <w:rPr>
                <w:lang w:val="en-US"/>
              </w:rPr>
            </w:pPr>
            <w:r w:rsidRPr="0084685C">
              <w:rPr>
                <w:lang w:val="en-US"/>
              </w:rPr>
              <w:t>C1</w:t>
            </w:r>
          </w:p>
        </w:tc>
        <w:tc>
          <w:tcPr>
            <w:tcW w:w="4253" w:type="dxa"/>
          </w:tcPr>
          <w:p w:rsidR="00D9026F" w:rsidRPr="0084685C" w:rsidRDefault="00D9026F" w:rsidP="0084685C">
            <w:pPr>
              <w:spacing w:before="40" w:after="120" w:line="240" w:lineRule="auto"/>
              <w:jc w:val="both"/>
              <w:rPr>
                <w:lang w:val="en-US"/>
              </w:rPr>
            </w:pPr>
            <w:r w:rsidRPr="0084685C">
              <w:rPr>
                <w:lang w:val="en-US"/>
              </w:rPr>
              <w:t>EU-27 + USA</w:t>
            </w:r>
          </w:p>
        </w:tc>
        <w:tc>
          <w:tcPr>
            <w:tcW w:w="696" w:type="dxa"/>
          </w:tcPr>
          <w:p w:rsidR="00D9026F" w:rsidRPr="0084685C" w:rsidRDefault="00D9026F" w:rsidP="0084685C">
            <w:pPr>
              <w:spacing w:before="40" w:after="120" w:line="240" w:lineRule="auto"/>
              <w:jc w:val="both"/>
              <w:rPr>
                <w:i/>
                <w:iCs/>
                <w:lang w:val="en-US"/>
              </w:rPr>
            </w:pPr>
            <w:r w:rsidRPr="0084685C">
              <w:rPr>
                <w:i/>
                <w:iCs/>
                <w:lang w:val="en-US"/>
              </w:rPr>
              <w:t>ELE</w:t>
            </w:r>
          </w:p>
        </w:tc>
        <w:tc>
          <w:tcPr>
            <w:tcW w:w="3481" w:type="dxa"/>
          </w:tcPr>
          <w:p w:rsidR="00D9026F" w:rsidRPr="0084685C" w:rsidRDefault="00D9026F" w:rsidP="0084685C">
            <w:pPr>
              <w:spacing w:before="40" w:after="120" w:line="240" w:lineRule="auto"/>
              <w:jc w:val="both"/>
              <w:rPr>
                <w:lang w:val="en-US"/>
              </w:rPr>
            </w:pPr>
            <w:r w:rsidRPr="0084685C">
              <w:rPr>
                <w:lang w:val="en-US"/>
              </w:rPr>
              <w:t>ELE</w:t>
            </w:r>
          </w:p>
        </w:tc>
      </w:tr>
      <w:tr w:rsidR="00D9026F" w:rsidRPr="00C65957" w:rsidTr="0084685C">
        <w:tc>
          <w:tcPr>
            <w:tcW w:w="1255" w:type="dxa"/>
          </w:tcPr>
          <w:p w:rsidR="00D9026F" w:rsidRPr="0084685C" w:rsidRDefault="00D9026F" w:rsidP="0084685C">
            <w:pPr>
              <w:spacing w:before="40" w:after="120" w:line="240" w:lineRule="auto"/>
              <w:jc w:val="both"/>
              <w:rPr>
                <w:lang w:val="en-US"/>
              </w:rPr>
            </w:pPr>
            <w:r w:rsidRPr="0084685C">
              <w:rPr>
                <w:lang w:val="en-US"/>
              </w:rPr>
              <w:t>C2</w:t>
            </w:r>
          </w:p>
        </w:tc>
        <w:tc>
          <w:tcPr>
            <w:tcW w:w="4253" w:type="dxa"/>
          </w:tcPr>
          <w:p w:rsidR="00D9026F" w:rsidRPr="0084685C" w:rsidRDefault="00D9026F" w:rsidP="0084685C">
            <w:pPr>
              <w:spacing w:before="40" w:after="60" w:line="240" w:lineRule="auto"/>
              <w:jc w:val="both"/>
              <w:rPr>
                <w:lang w:val="en-US"/>
              </w:rPr>
            </w:pPr>
            <w:r w:rsidRPr="0084685C">
              <w:rPr>
                <w:lang w:val="en-US"/>
              </w:rPr>
              <w:t xml:space="preserve">C1 + </w:t>
            </w:r>
          </w:p>
          <w:p w:rsidR="00D9026F" w:rsidRPr="0084685C" w:rsidRDefault="00D9026F" w:rsidP="0084685C">
            <w:pPr>
              <w:spacing w:before="60" w:after="60" w:line="240" w:lineRule="auto"/>
              <w:jc w:val="both"/>
              <w:rPr>
                <w:lang w:val="en-US"/>
              </w:rPr>
            </w:pPr>
            <w:r w:rsidRPr="0084685C">
              <w:rPr>
                <w:lang w:val="en-US"/>
              </w:rPr>
              <w:t>(Japan, Canada, Australia)</w:t>
            </w:r>
          </w:p>
        </w:tc>
        <w:tc>
          <w:tcPr>
            <w:tcW w:w="696" w:type="dxa"/>
          </w:tcPr>
          <w:p w:rsidR="00D9026F" w:rsidRPr="0084685C" w:rsidRDefault="00D9026F" w:rsidP="0084685C">
            <w:pPr>
              <w:spacing w:before="40" w:after="120" w:line="240" w:lineRule="auto"/>
              <w:jc w:val="both"/>
              <w:rPr>
                <w:i/>
                <w:iCs/>
                <w:lang w:val="en-US"/>
              </w:rPr>
            </w:pPr>
            <w:r w:rsidRPr="0084685C">
              <w:rPr>
                <w:i/>
                <w:iCs/>
                <w:lang w:val="en-US"/>
              </w:rPr>
              <w:t>EIS</w:t>
            </w:r>
          </w:p>
        </w:tc>
        <w:tc>
          <w:tcPr>
            <w:tcW w:w="3481" w:type="dxa"/>
          </w:tcPr>
          <w:p w:rsidR="00D9026F" w:rsidRPr="0084685C" w:rsidRDefault="00D9026F" w:rsidP="0084685C">
            <w:pPr>
              <w:spacing w:before="40" w:after="60" w:line="240" w:lineRule="auto"/>
              <w:jc w:val="both"/>
              <w:rPr>
                <w:lang w:val="en-US"/>
              </w:rPr>
            </w:pPr>
            <w:r w:rsidRPr="0084685C">
              <w:rPr>
                <w:i/>
                <w:iCs/>
                <w:lang w:val="en-US"/>
              </w:rPr>
              <w:t>ELE</w:t>
            </w:r>
            <w:r w:rsidRPr="0084685C">
              <w:rPr>
                <w:lang w:val="en-US"/>
              </w:rPr>
              <w:t xml:space="preserve"> +</w:t>
            </w:r>
          </w:p>
          <w:p w:rsidR="00D9026F" w:rsidRPr="0084685C" w:rsidRDefault="00D9026F" w:rsidP="0084685C">
            <w:pPr>
              <w:spacing w:before="60" w:after="60" w:line="240" w:lineRule="auto"/>
              <w:jc w:val="both"/>
              <w:rPr>
                <w:i/>
                <w:iCs/>
                <w:lang w:val="en-US"/>
              </w:rPr>
            </w:pPr>
            <w:r>
              <w:rPr>
                <w:lang w:val="en-US"/>
              </w:rPr>
              <w:t>(</w:t>
            </w:r>
            <w:r w:rsidRPr="0084685C">
              <w:rPr>
                <w:lang w:val="en-US"/>
              </w:rPr>
              <w:t>COL, CRU, GAS, OIL, EIS</w:t>
            </w:r>
            <w:r>
              <w:rPr>
                <w:lang w:val="en-US"/>
              </w:rPr>
              <w:t>)</w:t>
            </w:r>
          </w:p>
        </w:tc>
      </w:tr>
      <w:tr w:rsidR="00D9026F" w:rsidRPr="008D4DFC" w:rsidTr="0084685C">
        <w:tc>
          <w:tcPr>
            <w:tcW w:w="1255" w:type="dxa"/>
          </w:tcPr>
          <w:p w:rsidR="00D9026F" w:rsidRPr="0084685C" w:rsidRDefault="00D9026F" w:rsidP="0084685C">
            <w:pPr>
              <w:spacing w:before="40" w:after="120" w:line="240" w:lineRule="auto"/>
              <w:jc w:val="both"/>
              <w:rPr>
                <w:lang w:val="en-US"/>
              </w:rPr>
            </w:pPr>
            <w:r w:rsidRPr="0084685C">
              <w:rPr>
                <w:lang w:val="en-US"/>
              </w:rPr>
              <w:t>C3</w:t>
            </w:r>
          </w:p>
        </w:tc>
        <w:tc>
          <w:tcPr>
            <w:tcW w:w="4253" w:type="dxa"/>
          </w:tcPr>
          <w:p w:rsidR="00D9026F" w:rsidRPr="0084685C" w:rsidRDefault="00D9026F" w:rsidP="0084685C">
            <w:pPr>
              <w:spacing w:before="40" w:after="60" w:line="240" w:lineRule="auto"/>
              <w:jc w:val="both"/>
              <w:rPr>
                <w:lang w:val="en-US"/>
              </w:rPr>
            </w:pPr>
            <w:r w:rsidRPr="0084685C">
              <w:rPr>
                <w:lang w:val="en-US"/>
              </w:rPr>
              <w:t xml:space="preserve">C2 + </w:t>
            </w:r>
          </w:p>
          <w:p w:rsidR="00D9026F" w:rsidRPr="0084685C" w:rsidRDefault="00D9026F" w:rsidP="0084685C">
            <w:pPr>
              <w:spacing w:before="60" w:after="60" w:line="240" w:lineRule="auto"/>
              <w:jc w:val="both"/>
              <w:rPr>
                <w:lang w:val="en-US"/>
              </w:rPr>
            </w:pPr>
            <w:r w:rsidRPr="0084685C">
              <w:rPr>
                <w:lang w:val="en-US"/>
              </w:rPr>
              <w:t>(Russia, South Korea, Mexico)</w:t>
            </w:r>
          </w:p>
        </w:tc>
        <w:tc>
          <w:tcPr>
            <w:tcW w:w="696" w:type="dxa"/>
          </w:tcPr>
          <w:p w:rsidR="00D9026F" w:rsidRPr="0084685C" w:rsidRDefault="00D9026F" w:rsidP="0084685C">
            <w:pPr>
              <w:spacing w:before="40" w:after="120" w:line="240" w:lineRule="auto"/>
              <w:jc w:val="both"/>
              <w:rPr>
                <w:i/>
                <w:iCs/>
                <w:lang w:val="en-US"/>
              </w:rPr>
            </w:pPr>
            <w:r w:rsidRPr="0084685C">
              <w:rPr>
                <w:i/>
                <w:iCs/>
                <w:lang w:val="en-US"/>
              </w:rPr>
              <w:t>OTP</w:t>
            </w:r>
          </w:p>
        </w:tc>
        <w:tc>
          <w:tcPr>
            <w:tcW w:w="3481" w:type="dxa"/>
          </w:tcPr>
          <w:p w:rsidR="00D9026F" w:rsidRDefault="00D9026F" w:rsidP="0084685C">
            <w:pPr>
              <w:spacing w:before="60" w:after="60" w:line="240" w:lineRule="auto"/>
              <w:jc w:val="both"/>
              <w:rPr>
                <w:lang w:val="en-US"/>
              </w:rPr>
            </w:pPr>
            <w:r w:rsidRPr="0084685C">
              <w:rPr>
                <w:i/>
                <w:iCs/>
                <w:lang w:val="en-US"/>
              </w:rPr>
              <w:t>EIS</w:t>
            </w:r>
            <w:r w:rsidRPr="0084685C">
              <w:rPr>
                <w:lang w:val="en-US"/>
              </w:rPr>
              <w:t xml:space="preserve"> +</w:t>
            </w:r>
            <w:r>
              <w:rPr>
                <w:lang w:val="en-US"/>
              </w:rPr>
              <w:t xml:space="preserve"> </w:t>
            </w:r>
          </w:p>
          <w:p w:rsidR="00D9026F" w:rsidRPr="0084685C" w:rsidRDefault="00D9026F" w:rsidP="0084685C">
            <w:pPr>
              <w:spacing w:before="60" w:after="60" w:line="240" w:lineRule="auto"/>
              <w:jc w:val="both"/>
              <w:rPr>
                <w:lang w:val="en-US"/>
              </w:rPr>
            </w:pPr>
            <w:r>
              <w:rPr>
                <w:lang w:val="en-US"/>
              </w:rPr>
              <w:t>(</w:t>
            </w:r>
            <w:r w:rsidRPr="0084685C">
              <w:rPr>
                <w:lang w:val="en-US"/>
              </w:rPr>
              <w:t>OTP</w:t>
            </w:r>
            <w:r>
              <w:rPr>
                <w:lang w:val="en-US"/>
              </w:rPr>
              <w:t>)</w:t>
            </w:r>
            <w:r w:rsidRPr="0084685C">
              <w:rPr>
                <w:lang w:val="en-US"/>
              </w:rPr>
              <w:t xml:space="preserve"> </w:t>
            </w:r>
          </w:p>
        </w:tc>
      </w:tr>
      <w:tr w:rsidR="00D9026F" w:rsidRPr="008D4DFC" w:rsidTr="0084685C">
        <w:tc>
          <w:tcPr>
            <w:tcW w:w="1255" w:type="dxa"/>
          </w:tcPr>
          <w:p w:rsidR="00D9026F" w:rsidRPr="0084685C" w:rsidRDefault="00D9026F" w:rsidP="0084685C">
            <w:pPr>
              <w:spacing w:before="40" w:after="120" w:line="240" w:lineRule="auto"/>
              <w:jc w:val="both"/>
              <w:rPr>
                <w:lang w:val="en-US"/>
              </w:rPr>
            </w:pPr>
            <w:r w:rsidRPr="0084685C">
              <w:rPr>
                <w:lang w:val="en-US"/>
              </w:rPr>
              <w:t>C4</w:t>
            </w:r>
          </w:p>
        </w:tc>
        <w:tc>
          <w:tcPr>
            <w:tcW w:w="4253" w:type="dxa"/>
          </w:tcPr>
          <w:p w:rsidR="00D9026F" w:rsidRPr="0084685C" w:rsidRDefault="00D9026F" w:rsidP="0084685C">
            <w:pPr>
              <w:spacing w:before="40" w:after="60" w:line="240" w:lineRule="auto"/>
              <w:jc w:val="both"/>
              <w:rPr>
                <w:lang w:val="en-US"/>
              </w:rPr>
            </w:pPr>
            <w:r w:rsidRPr="0084685C">
              <w:rPr>
                <w:lang w:val="en-US"/>
              </w:rPr>
              <w:t xml:space="preserve">C3 + </w:t>
            </w:r>
          </w:p>
          <w:p w:rsidR="00D9026F" w:rsidRPr="0084685C" w:rsidRDefault="00D9026F" w:rsidP="0084685C">
            <w:pPr>
              <w:spacing w:before="60" w:after="60" w:line="240" w:lineRule="auto"/>
              <w:jc w:val="both"/>
              <w:rPr>
                <w:lang w:val="en-US"/>
              </w:rPr>
            </w:pPr>
            <w:r w:rsidRPr="0084685C">
              <w:rPr>
                <w:lang w:val="en-US"/>
              </w:rPr>
              <w:t>(China, India, Brazil, South Africa)</w:t>
            </w:r>
          </w:p>
        </w:tc>
        <w:tc>
          <w:tcPr>
            <w:tcW w:w="696" w:type="dxa"/>
          </w:tcPr>
          <w:p w:rsidR="00D9026F" w:rsidRPr="0084685C" w:rsidRDefault="00D9026F" w:rsidP="0084685C">
            <w:pPr>
              <w:spacing w:before="40" w:after="120" w:line="240" w:lineRule="auto"/>
              <w:jc w:val="both"/>
              <w:rPr>
                <w:i/>
                <w:iCs/>
                <w:lang w:val="en-US"/>
              </w:rPr>
            </w:pPr>
            <w:r w:rsidRPr="0084685C">
              <w:rPr>
                <w:i/>
                <w:iCs/>
                <w:lang w:val="en-US"/>
              </w:rPr>
              <w:t>WTP</w:t>
            </w:r>
          </w:p>
        </w:tc>
        <w:tc>
          <w:tcPr>
            <w:tcW w:w="3481" w:type="dxa"/>
          </w:tcPr>
          <w:p w:rsidR="00D9026F" w:rsidRDefault="00D9026F" w:rsidP="0084685C">
            <w:pPr>
              <w:spacing w:before="60" w:after="60" w:line="240" w:lineRule="auto"/>
              <w:jc w:val="both"/>
              <w:rPr>
                <w:lang w:val="en-US"/>
              </w:rPr>
            </w:pPr>
            <w:r w:rsidRPr="0084685C">
              <w:rPr>
                <w:i/>
                <w:iCs/>
                <w:lang w:val="en-US"/>
              </w:rPr>
              <w:t>OTP</w:t>
            </w:r>
            <w:r w:rsidRPr="0084685C">
              <w:rPr>
                <w:lang w:val="en-US"/>
              </w:rPr>
              <w:t xml:space="preserve"> +</w:t>
            </w:r>
            <w:r>
              <w:rPr>
                <w:lang w:val="en-US"/>
              </w:rPr>
              <w:t xml:space="preserve"> </w:t>
            </w:r>
          </w:p>
          <w:p w:rsidR="00D9026F" w:rsidRPr="0084685C" w:rsidRDefault="00D9026F" w:rsidP="0084685C">
            <w:pPr>
              <w:spacing w:before="60" w:after="60" w:line="240" w:lineRule="auto"/>
              <w:jc w:val="both"/>
              <w:rPr>
                <w:lang w:val="en-US"/>
              </w:rPr>
            </w:pPr>
            <w:r>
              <w:rPr>
                <w:lang w:val="en-US"/>
              </w:rPr>
              <w:t>(</w:t>
            </w:r>
            <w:r w:rsidRPr="0084685C">
              <w:rPr>
                <w:lang w:val="en-US"/>
              </w:rPr>
              <w:t>WTP</w:t>
            </w:r>
            <w:r>
              <w:rPr>
                <w:lang w:val="en-US"/>
              </w:rPr>
              <w:t>)</w:t>
            </w:r>
          </w:p>
        </w:tc>
      </w:tr>
      <w:tr w:rsidR="00D9026F" w:rsidRPr="008D4DFC" w:rsidTr="0084685C">
        <w:tc>
          <w:tcPr>
            <w:tcW w:w="1255" w:type="dxa"/>
          </w:tcPr>
          <w:p w:rsidR="00D9026F" w:rsidRPr="0084685C" w:rsidRDefault="00D9026F" w:rsidP="0084685C">
            <w:pPr>
              <w:spacing w:before="40" w:after="120" w:line="240" w:lineRule="auto"/>
              <w:jc w:val="both"/>
              <w:rPr>
                <w:lang w:val="en-US"/>
              </w:rPr>
            </w:pPr>
            <w:r w:rsidRPr="0084685C">
              <w:rPr>
                <w:lang w:val="en-US"/>
              </w:rPr>
              <w:t>CE-World</w:t>
            </w:r>
          </w:p>
        </w:tc>
        <w:tc>
          <w:tcPr>
            <w:tcW w:w="4253" w:type="dxa"/>
          </w:tcPr>
          <w:p w:rsidR="00D9026F" w:rsidRPr="0084685C" w:rsidRDefault="00D9026F" w:rsidP="0084685C">
            <w:pPr>
              <w:spacing w:before="40" w:after="120" w:line="240" w:lineRule="auto"/>
              <w:jc w:val="both"/>
              <w:rPr>
                <w:lang w:val="en-US"/>
              </w:rPr>
            </w:pPr>
            <w:r w:rsidRPr="0084685C">
              <w:rPr>
                <w:lang w:val="en-US"/>
              </w:rPr>
              <w:t>All regions</w:t>
            </w:r>
          </w:p>
        </w:tc>
        <w:tc>
          <w:tcPr>
            <w:tcW w:w="696" w:type="dxa"/>
          </w:tcPr>
          <w:p w:rsidR="00D9026F" w:rsidRPr="0084685C" w:rsidRDefault="00D9026F" w:rsidP="0084685C">
            <w:pPr>
              <w:spacing w:before="40" w:after="120" w:line="240" w:lineRule="auto"/>
              <w:jc w:val="both"/>
              <w:rPr>
                <w:i/>
                <w:iCs/>
                <w:lang w:val="en-US"/>
              </w:rPr>
            </w:pPr>
            <w:r w:rsidRPr="0084685C">
              <w:rPr>
                <w:i/>
                <w:iCs/>
                <w:lang w:val="en-US"/>
              </w:rPr>
              <w:t>ROI</w:t>
            </w:r>
          </w:p>
        </w:tc>
        <w:tc>
          <w:tcPr>
            <w:tcW w:w="3481" w:type="dxa"/>
          </w:tcPr>
          <w:p w:rsidR="00D9026F" w:rsidRDefault="00D9026F" w:rsidP="0084685C">
            <w:pPr>
              <w:spacing w:before="60" w:after="60" w:line="240" w:lineRule="auto"/>
              <w:jc w:val="both"/>
              <w:rPr>
                <w:lang w:val="en-US"/>
              </w:rPr>
            </w:pPr>
            <w:r w:rsidRPr="0084685C">
              <w:rPr>
                <w:i/>
                <w:iCs/>
                <w:lang w:val="en-US"/>
              </w:rPr>
              <w:t>WTP</w:t>
            </w:r>
            <w:r w:rsidRPr="0084685C">
              <w:rPr>
                <w:lang w:val="en-US"/>
              </w:rPr>
              <w:t xml:space="preserve"> +</w:t>
            </w:r>
            <w:r>
              <w:rPr>
                <w:lang w:val="en-US"/>
              </w:rPr>
              <w:t xml:space="preserve"> </w:t>
            </w:r>
          </w:p>
          <w:p w:rsidR="00D9026F" w:rsidRPr="0084685C" w:rsidRDefault="00D9026F" w:rsidP="0084685C">
            <w:pPr>
              <w:spacing w:before="60" w:after="60" w:line="240" w:lineRule="auto"/>
              <w:jc w:val="both"/>
              <w:rPr>
                <w:lang w:val="en-US"/>
              </w:rPr>
            </w:pPr>
            <w:r>
              <w:rPr>
                <w:lang w:val="en-US"/>
              </w:rPr>
              <w:t>(</w:t>
            </w:r>
            <w:r w:rsidRPr="0084685C">
              <w:rPr>
                <w:lang w:val="en-US"/>
              </w:rPr>
              <w:t>ROI</w:t>
            </w:r>
            <w:r>
              <w:rPr>
                <w:lang w:val="en-US"/>
              </w:rPr>
              <w:t>)</w:t>
            </w:r>
          </w:p>
        </w:tc>
      </w:tr>
      <w:tr w:rsidR="00D9026F" w:rsidRPr="008D4DFC" w:rsidTr="0084685C">
        <w:tc>
          <w:tcPr>
            <w:tcW w:w="1255" w:type="dxa"/>
            <w:tcBorders>
              <w:bottom w:val="single" w:sz="12" w:space="0" w:color="008000"/>
            </w:tcBorders>
          </w:tcPr>
          <w:p w:rsidR="00D9026F" w:rsidRPr="0084685C" w:rsidRDefault="00D9026F" w:rsidP="0084685C">
            <w:pPr>
              <w:spacing w:before="60" w:after="60" w:line="240" w:lineRule="auto"/>
              <w:jc w:val="both"/>
              <w:rPr>
                <w:lang w:val="en-US"/>
              </w:rPr>
            </w:pPr>
          </w:p>
        </w:tc>
        <w:tc>
          <w:tcPr>
            <w:tcW w:w="4253" w:type="dxa"/>
            <w:tcBorders>
              <w:bottom w:val="single" w:sz="12" w:space="0" w:color="008000"/>
            </w:tcBorders>
          </w:tcPr>
          <w:p w:rsidR="00D9026F" w:rsidRPr="0084685C" w:rsidRDefault="00D9026F" w:rsidP="0084685C">
            <w:pPr>
              <w:spacing w:before="60" w:after="60" w:line="240" w:lineRule="auto"/>
              <w:jc w:val="both"/>
              <w:rPr>
                <w:lang w:val="en-US"/>
              </w:rPr>
            </w:pPr>
          </w:p>
        </w:tc>
        <w:tc>
          <w:tcPr>
            <w:tcW w:w="696" w:type="dxa"/>
            <w:tcBorders>
              <w:bottom w:val="single" w:sz="12" w:space="0" w:color="008000"/>
            </w:tcBorders>
          </w:tcPr>
          <w:p w:rsidR="00D9026F" w:rsidRPr="0084685C" w:rsidRDefault="00D9026F" w:rsidP="0084685C">
            <w:pPr>
              <w:spacing w:before="40" w:after="120" w:line="240" w:lineRule="auto"/>
              <w:jc w:val="both"/>
              <w:rPr>
                <w:i/>
                <w:iCs/>
                <w:lang w:val="en-US"/>
              </w:rPr>
            </w:pPr>
            <w:r w:rsidRPr="0084685C">
              <w:rPr>
                <w:i/>
                <w:iCs/>
                <w:lang w:val="en-US"/>
              </w:rPr>
              <w:t>C</w:t>
            </w:r>
          </w:p>
        </w:tc>
        <w:tc>
          <w:tcPr>
            <w:tcW w:w="3481" w:type="dxa"/>
            <w:tcBorders>
              <w:bottom w:val="single" w:sz="12" w:space="0" w:color="008000"/>
            </w:tcBorders>
          </w:tcPr>
          <w:p w:rsidR="00D9026F" w:rsidRDefault="00D9026F" w:rsidP="0084685C">
            <w:pPr>
              <w:spacing w:before="60" w:after="60" w:line="240" w:lineRule="auto"/>
              <w:jc w:val="both"/>
              <w:rPr>
                <w:lang w:val="en-US"/>
              </w:rPr>
            </w:pPr>
            <w:r w:rsidRPr="0084685C">
              <w:rPr>
                <w:i/>
                <w:iCs/>
                <w:lang w:val="en-US"/>
              </w:rPr>
              <w:t>ROI</w:t>
            </w:r>
            <w:r w:rsidRPr="0084685C">
              <w:rPr>
                <w:lang w:val="en-US"/>
              </w:rPr>
              <w:t xml:space="preserve"> +</w:t>
            </w:r>
            <w:r>
              <w:rPr>
                <w:lang w:val="en-US"/>
              </w:rPr>
              <w:t xml:space="preserve"> </w:t>
            </w:r>
          </w:p>
          <w:p w:rsidR="00D9026F" w:rsidRPr="0084685C" w:rsidRDefault="00D9026F" w:rsidP="0084685C">
            <w:pPr>
              <w:spacing w:before="60" w:after="60" w:line="240" w:lineRule="auto"/>
              <w:jc w:val="both"/>
              <w:rPr>
                <w:lang w:val="en-US"/>
              </w:rPr>
            </w:pPr>
            <w:r>
              <w:rPr>
                <w:lang w:val="en-US"/>
              </w:rPr>
              <w:t>(</w:t>
            </w:r>
            <w:r w:rsidRPr="0084685C">
              <w:rPr>
                <w:lang w:val="en-US"/>
              </w:rPr>
              <w:t>C</w:t>
            </w:r>
            <w:r>
              <w:rPr>
                <w:lang w:val="en-US"/>
              </w:rPr>
              <w:t>)</w:t>
            </w:r>
          </w:p>
        </w:tc>
      </w:tr>
    </w:tbl>
    <w:p w:rsidR="00D9026F" w:rsidRDefault="00D9026F" w:rsidP="00831C35">
      <w:pPr>
        <w:spacing w:line="240" w:lineRule="auto"/>
        <w:ind w:left="181" w:hanging="181"/>
        <w:jc w:val="both"/>
        <w:rPr>
          <w:sz w:val="18"/>
          <w:szCs w:val="18"/>
          <w:lang w:val="en-US"/>
        </w:rPr>
      </w:pPr>
      <w:r w:rsidRPr="00831C35">
        <w:rPr>
          <w:sz w:val="18"/>
          <w:szCs w:val="18"/>
          <w:vertAlign w:val="superscript"/>
          <w:lang w:val="en-US"/>
        </w:rPr>
        <w:t>a</w:t>
      </w:r>
      <w:r w:rsidRPr="00831C35">
        <w:rPr>
          <w:sz w:val="18"/>
          <w:szCs w:val="18"/>
          <w:lang w:val="en-US"/>
        </w:rPr>
        <w:t xml:space="preserve"> </w:t>
      </w:r>
      <w:r>
        <w:rPr>
          <w:sz w:val="20"/>
          <w:szCs w:val="20"/>
          <w:lang w:val="en-US"/>
        </w:rPr>
        <w:t>T</w:t>
      </w:r>
      <w:r w:rsidRPr="00831C35">
        <w:rPr>
          <w:sz w:val="20"/>
          <w:szCs w:val="20"/>
          <w:lang w:val="en-US"/>
        </w:rPr>
        <w:t xml:space="preserve">he variants of sectoral coverage are written in italics (e.g., </w:t>
      </w:r>
      <w:r w:rsidRPr="00831C35">
        <w:rPr>
          <w:i/>
          <w:sz w:val="20"/>
          <w:szCs w:val="20"/>
          <w:lang w:val="en-US"/>
        </w:rPr>
        <w:t>OTP</w:t>
      </w:r>
      <w:r w:rsidRPr="00831C35">
        <w:rPr>
          <w:sz w:val="20"/>
          <w:szCs w:val="20"/>
          <w:lang w:val="en-US"/>
        </w:rPr>
        <w:t xml:space="preserve">), whereas sectors are not (e.g., OTP). For instance, variant </w:t>
      </w:r>
      <w:r w:rsidRPr="00831C35">
        <w:rPr>
          <w:i/>
          <w:sz w:val="20"/>
          <w:szCs w:val="20"/>
          <w:lang w:val="en-US"/>
        </w:rPr>
        <w:t>OTP</w:t>
      </w:r>
      <w:r w:rsidRPr="00831C35">
        <w:rPr>
          <w:sz w:val="20"/>
          <w:szCs w:val="20"/>
          <w:lang w:val="en-US"/>
        </w:rPr>
        <w:t xml:space="preserve"> comprises several sectors, where the OTP sector is the additional sector included in the ETS</w:t>
      </w:r>
      <w:r>
        <w:rPr>
          <w:sz w:val="20"/>
          <w:szCs w:val="20"/>
          <w:lang w:val="en-US"/>
        </w:rPr>
        <w:t xml:space="preserve"> under this variant</w:t>
      </w:r>
      <w:r w:rsidRPr="00831C35">
        <w:rPr>
          <w:sz w:val="20"/>
          <w:szCs w:val="20"/>
          <w:lang w:val="en-US"/>
        </w:rPr>
        <w:t>.</w:t>
      </w:r>
      <w:r>
        <w:rPr>
          <w:sz w:val="20"/>
          <w:szCs w:val="20"/>
          <w:lang w:val="en-US"/>
        </w:rPr>
        <w:t xml:space="preserve"> Sectors are defined in Table 1.</w:t>
      </w:r>
    </w:p>
    <w:p w:rsidR="00D9026F" w:rsidRPr="00831C35" w:rsidRDefault="00D9026F" w:rsidP="00831C35">
      <w:pPr>
        <w:spacing w:line="240" w:lineRule="auto"/>
        <w:ind w:left="181" w:hanging="181"/>
        <w:jc w:val="both"/>
        <w:rPr>
          <w:sz w:val="18"/>
          <w:szCs w:val="18"/>
          <w:lang w:val="en-US"/>
        </w:rPr>
      </w:pPr>
    </w:p>
    <w:p w:rsidR="00D9026F" w:rsidRPr="008D4DFC" w:rsidRDefault="00D9026F" w:rsidP="003616FF">
      <w:pPr>
        <w:jc w:val="both"/>
        <w:rPr>
          <w:lang w:val="en-US"/>
        </w:rPr>
      </w:pPr>
      <w:r w:rsidRPr="008D4DFC">
        <w:rPr>
          <w:lang w:val="en-US"/>
        </w:rPr>
        <w:t>Table 3 summarizes the dimensionalities of (international) emissions trading scenarios with respect to regional and sectoral coverage. The sequence of expanding trading by sectors and regions is motivated by our view o</w:t>
      </w:r>
      <w:r>
        <w:rPr>
          <w:lang w:val="en-US"/>
        </w:rPr>
        <w:t>f</w:t>
      </w:r>
      <w:r w:rsidRPr="008D4DFC">
        <w:rPr>
          <w:lang w:val="en-US"/>
        </w:rPr>
        <w:t xml:space="preserve"> a pragmatic climate policy course.</w:t>
      </w:r>
      <w:r>
        <w:rPr>
          <w:lang w:val="en-US"/>
        </w:rPr>
        <w:t xml:space="preserve"> </w:t>
      </w:r>
      <w:r w:rsidRPr="008D4DFC">
        <w:rPr>
          <w:lang w:val="en-US"/>
        </w:rPr>
        <w:t>Clearly, the numerical results for individual countries are dependent o</w:t>
      </w:r>
      <w:r>
        <w:rPr>
          <w:lang w:val="en-US"/>
        </w:rPr>
        <w:t>n</w:t>
      </w:r>
      <w:r w:rsidRPr="008D4DFC">
        <w:rPr>
          <w:lang w:val="en-US"/>
        </w:rPr>
        <w:t xml:space="preserve"> this sequence but – as will follow from our interpretation below – the more general economic insights will still prevail.</w:t>
      </w:r>
    </w:p>
    <w:p w:rsidR="00D9026F" w:rsidRDefault="00D9026F" w:rsidP="00DB00B8">
      <w:pPr>
        <w:jc w:val="both"/>
        <w:rPr>
          <w:lang w:val="en-US"/>
        </w:rPr>
      </w:pPr>
    </w:p>
    <w:p w:rsidR="00D9026F" w:rsidRDefault="00D9026F" w:rsidP="00DB00B8">
      <w:pPr>
        <w:jc w:val="both"/>
        <w:rPr>
          <w:lang w:val="en-US"/>
        </w:rPr>
      </w:pPr>
      <w:r>
        <w:rPr>
          <w:lang w:val="en-US"/>
        </w:rPr>
        <w:t xml:space="preserve">The total costs of complying with the national target are given by equation (6), i.e., the sum of abatement costs and net permit expenditures. </w:t>
      </w:r>
      <w:r w:rsidRPr="008D4DFC">
        <w:rPr>
          <w:lang w:val="en-US"/>
        </w:rPr>
        <w:t xml:space="preserve">We report the implications </w:t>
      </w:r>
      <w:r>
        <w:rPr>
          <w:lang w:val="en-US"/>
        </w:rPr>
        <w:t xml:space="preserve">for costs and emissions prices </w:t>
      </w:r>
      <w:r w:rsidRPr="008D4DFC">
        <w:rPr>
          <w:lang w:val="en-US"/>
        </w:rPr>
        <w:t>of regional and sectoral expansion with respect to a no-trading scenario where each region complies with its specific emission reduction pledge through a domestic economy-wide CO</w:t>
      </w:r>
      <w:r w:rsidRPr="008D4DFC">
        <w:rPr>
          <w:vertAlign w:val="subscript"/>
          <w:lang w:val="en-US"/>
        </w:rPr>
        <w:t>2</w:t>
      </w:r>
      <w:r w:rsidRPr="008D4DFC">
        <w:rPr>
          <w:lang w:val="en-US"/>
        </w:rPr>
        <w:t xml:space="preserve"> tax or likewise a comprehensive domestic cap-and-trade system without international emissions trading (this reference scenario corresponds to the settings “none” for regional or sectoral coverage in Table 3 above). </w:t>
      </w:r>
      <w:r>
        <w:rPr>
          <w:lang w:val="en-US"/>
        </w:rPr>
        <w:t xml:space="preserve">Table 4 shows each region’s total costs of </w:t>
      </w:r>
      <w:r w:rsidRPr="008D4DFC">
        <w:rPr>
          <w:lang w:val="en-US"/>
        </w:rPr>
        <w:t xml:space="preserve">complying with the national target </w:t>
      </w:r>
      <w:r>
        <w:rPr>
          <w:lang w:val="en-US"/>
        </w:rPr>
        <w:t>in this</w:t>
      </w:r>
      <w:r w:rsidRPr="008D4DFC">
        <w:rPr>
          <w:lang w:val="en-US"/>
        </w:rPr>
        <w:t xml:space="preserve"> no-trading case</w:t>
      </w:r>
      <w:r>
        <w:rPr>
          <w:lang w:val="en-US"/>
        </w:rPr>
        <w:t>, as well as the corresponding CO</w:t>
      </w:r>
      <w:r w:rsidRPr="00226F94">
        <w:rPr>
          <w:vertAlign w:val="subscript"/>
          <w:lang w:val="en-US"/>
        </w:rPr>
        <w:t>2</w:t>
      </w:r>
      <w:r>
        <w:rPr>
          <w:lang w:val="en-US"/>
        </w:rPr>
        <w:t xml:space="preserve"> price (</w:t>
      </w:r>
      <w:r w:rsidRPr="00B02861">
        <w:rPr>
          <w:lang w:val="en-GB"/>
        </w:rPr>
        <w:t>or marginal abatement costs</w:t>
      </w:r>
      <w:r>
        <w:rPr>
          <w:lang w:val="en-GB"/>
        </w:rPr>
        <w:t>)</w:t>
      </w:r>
      <w:r>
        <w:rPr>
          <w:lang w:val="en-US"/>
        </w:rPr>
        <w:t xml:space="preserve">. </w:t>
      </w:r>
    </w:p>
    <w:p w:rsidR="00D9026F" w:rsidRDefault="00D9026F" w:rsidP="00014F22">
      <w:pPr>
        <w:spacing w:before="240" w:after="120"/>
        <w:ind w:left="902" w:hanging="902"/>
        <w:jc w:val="both"/>
        <w:rPr>
          <w:bCs/>
          <w:lang w:val="en-US"/>
        </w:rPr>
      </w:pPr>
      <w:r w:rsidRPr="008D4DFC">
        <w:rPr>
          <w:bCs/>
          <w:lang w:val="en-US"/>
        </w:rPr>
        <w:lastRenderedPageBreak/>
        <w:t xml:space="preserve">Table </w:t>
      </w:r>
      <w:r>
        <w:rPr>
          <w:bCs/>
          <w:lang w:val="en-US"/>
        </w:rPr>
        <w:t>4</w:t>
      </w:r>
      <w:r w:rsidRPr="008D4DFC">
        <w:rPr>
          <w:bCs/>
          <w:lang w:val="en-US"/>
        </w:rPr>
        <w:t>:</w:t>
      </w:r>
      <w:r w:rsidRPr="008D4DFC">
        <w:rPr>
          <w:bCs/>
          <w:lang w:val="en-US"/>
        </w:rPr>
        <w:tab/>
      </w:r>
      <w:r>
        <w:rPr>
          <w:bCs/>
          <w:lang w:val="en-US"/>
        </w:rPr>
        <w:t>Regional abatement costs (Million USD) and marginal abatement costs (</w:t>
      </w:r>
      <w:r w:rsidRPr="00014F22">
        <w:rPr>
          <w:bCs/>
          <w:lang w:val="en-US"/>
        </w:rPr>
        <w:t>USD per</w:t>
      </w:r>
      <w:r w:rsidRPr="00B02861">
        <w:rPr>
          <w:lang w:val="en-GB"/>
        </w:rPr>
        <w:t xml:space="preserve"> ton of CO</w:t>
      </w:r>
      <w:r w:rsidRPr="00475702">
        <w:rPr>
          <w:vertAlign w:val="subscript"/>
          <w:lang w:val="en-GB"/>
        </w:rPr>
        <w:t>2</w:t>
      </w:r>
      <w:r>
        <w:rPr>
          <w:bCs/>
          <w:lang w:val="en-US"/>
        </w:rPr>
        <w:t xml:space="preserve">) in the no-trading case in 2020. </w:t>
      </w:r>
    </w:p>
    <w:tbl>
      <w:tblPr>
        <w:tblW w:w="8814" w:type="dxa"/>
        <w:tblLook w:val="0020" w:firstRow="1" w:lastRow="0" w:firstColumn="0" w:lastColumn="0" w:noHBand="0" w:noVBand="0"/>
      </w:tblPr>
      <w:tblGrid>
        <w:gridCol w:w="1548"/>
        <w:gridCol w:w="1442"/>
        <w:gridCol w:w="1078"/>
        <w:gridCol w:w="1080"/>
        <w:gridCol w:w="1080"/>
        <w:gridCol w:w="1096"/>
        <w:gridCol w:w="1490"/>
      </w:tblGrid>
      <w:tr w:rsidR="00D9026F" w:rsidRPr="008D4DFC" w:rsidTr="006C0B08">
        <w:tc>
          <w:tcPr>
            <w:tcW w:w="1548" w:type="dxa"/>
            <w:tcBorders>
              <w:top w:val="single" w:sz="12" w:space="0" w:color="auto"/>
              <w:bottom w:val="single" w:sz="4" w:space="0" w:color="auto"/>
            </w:tcBorders>
          </w:tcPr>
          <w:p w:rsidR="00D9026F" w:rsidRDefault="00D9026F" w:rsidP="006C0B08">
            <w:pPr>
              <w:spacing w:before="60" w:after="60" w:line="240" w:lineRule="auto"/>
              <w:jc w:val="center"/>
              <w:rPr>
                <w:lang w:val="en-US"/>
              </w:rPr>
            </w:pPr>
          </w:p>
        </w:tc>
        <w:tc>
          <w:tcPr>
            <w:tcW w:w="1442" w:type="dxa"/>
            <w:tcBorders>
              <w:top w:val="single" w:sz="12" w:space="0" w:color="auto"/>
              <w:bottom w:val="single" w:sz="4" w:space="0" w:color="auto"/>
            </w:tcBorders>
          </w:tcPr>
          <w:p w:rsidR="00D9026F" w:rsidRDefault="00D9026F" w:rsidP="006C0B08">
            <w:pPr>
              <w:spacing w:before="60" w:after="60" w:line="240" w:lineRule="auto"/>
              <w:jc w:val="center"/>
              <w:rPr>
                <w:lang w:val="en-US"/>
              </w:rPr>
            </w:pPr>
            <w:r>
              <w:rPr>
                <w:lang w:val="en-US"/>
              </w:rPr>
              <w:t>EU-27</w:t>
            </w:r>
          </w:p>
        </w:tc>
        <w:tc>
          <w:tcPr>
            <w:tcW w:w="1078" w:type="dxa"/>
            <w:tcBorders>
              <w:top w:val="single" w:sz="12" w:space="0" w:color="auto"/>
              <w:bottom w:val="single" w:sz="4" w:space="0" w:color="auto"/>
            </w:tcBorders>
          </w:tcPr>
          <w:p w:rsidR="00D9026F" w:rsidRDefault="00D9026F" w:rsidP="006C0B08">
            <w:pPr>
              <w:spacing w:before="60" w:after="60" w:line="240" w:lineRule="auto"/>
              <w:jc w:val="center"/>
              <w:rPr>
                <w:lang w:val="en-US"/>
              </w:rPr>
            </w:pPr>
            <w:r>
              <w:rPr>
                <w:lang w:val="en-US"/>
              </w:rPr>
              <w:t>USA</w:t>
            </w:r>
          </w:p>
        </w:tc>
        <w:tc>
          <w:tcPr>
            <w:tcW w:w="1080" w:type="dxa"/>
            <w:tcBorders>
              <w:top w:val="single" w:sz="12" w:space="0" w:color="auto"/>
              <w:bottom w:val="single" w:sz="4" w:space="0" w:color="auto"/>
            </w:tcBorders>
          </w:tcPr>
          <w:p w:rsidR="00D9026F" w:rsidRDefault="00D9026F" w:rsidP="006C0B08">
            <w:pPr>
              <w:spacing w:before="60" w:after="60" w:line="240" w:lineRule="auto"/>
              <w:jc w:val="center"/>
              <w:rPr>
                <w:lang w:val="en-US"/>
              </w:rPr>
            </w:pPr>
            <w:r>
              <w:rPr>
                <w:lang w:val="en-US"/>
              </w:rPr>
              <w:t>Japan</w:t>
            </w:r>
          </w:p>
        </w:tc>
        <w:tc>
          <w:tcPr>
            <w:tcW w:w="1080" w:type="dxa"/>
            <w:tcBorders>
              <w:top w:val="single" w:sz="12" w:space="0" w:color="auto"/>
              <w:bottom w:val="single" w:sz="4" w:space="0" w:color="auto"/>
            </w:tcBorders>
          </w:tcPr>
          <w:p w:rsidR="00D9026F" w:rsidRDefault="00D9026F" w:rsidP="006C0B08">
            <w:pPr>
              <w:spacing w:before="60" w:after="60" w:line="240" w:lineRule="auto"/>
              <w:jc w:val="center"/>
              <w:rPr>
                <w:lang w:val="en-US"/>
              </w:rPr>
            </w:pPr>
            <w:r>
              <w:rPr>
                <w:lang w:val="en-US"/>
              </w:rPr>
              <w:t>Canada</w:t>
            </w:r>
          </w:p>
        </w:tc>
        <w:tc>
          <w:tcPr>
            <w:tcW w:w="1096" w:type="dxa"/>
            <w:tcBorders>
              <w:top w:val="single" w:sz="12" w:space="0" w:color="auto"/>
              <w:bottom w:val="single" w:sz="4" w:space="0" w:color="auto"/>
            </w:tcBorders>
          </w:tcPr>
          <w:p w:rsidR="00D9026F" w:rsidRDefault="00D9026F" w:rsidP="006C0B08">
            <w:pPr>
              <w:spacing w:before="60" w:after="60" w:line="240" w:lineRule="auto"/>
              <w:jc w:val="center"/>
              <w:rPr>
                <w:lang w:val="en-US"/>
              </w:rPr>
            </w:pPr>
            <w:r>
              <w:rPr>
                <w:lang w:val="en-US"/>
              </w:rPr>
              <w:t>Australia</w:t>
            </w:r>
          </w:p>
        </w:tc>
        <w:tc>
          <w:tcPr>
            <w:tcW w:w="1490" w:type="dxa"/>
            <w:tcBorders>
              <w:top w:val="single" w:sz="12" w:space="0" w:color="auto"/>
              <w:bottom w:val="single" w:sz="4" w:space="0" w:color="auto"/>
            </w:tcBorders>
          </w:tcPr>
          <w:p w:rsidR="00D9026F" w:rsidRDefault="00D9026F" w:rsidP="006C0B08">
            <w:pPr>
              <w:spacing w:before="60" w:after="60" w:line="240" w:lineRule="auto"/>
              <w:jc w:val="center"/>
              <w:rPr>
                <w:lang w:val="en-US"/>
              </w:rPr>
            </w:pPr>
            <w:r>
              <w:rPr>
                <w:lang w:val="en-US"/>
              </w:rPr>
              <w:t>Russia</w:t>
            </w:r>
          </w:p>
        </w:tc>
      </w:tr>
      <w:tr w:rsidR="00D9026F" w:rsidRPr="008D4DFC" w:rsidTr="006C0B08">
        <w:tc>
          <w:tcPr>
            <w:tcW w:w="1548" w:type="dxa"/>
            <w:tcBorders>
              <w:top w:val="single" w:sz="4" w:space="0" w:color="auto"/>
            </w:tcBorders>
          </w:tcPr>
          <w:p w:rsidR="00D9026F" w:rsidRDefault="00D9026F">
            <w:pPr>
              <w:spacing w:before="60" w:after="60" w:line="240" w:lineRule="auto"/>
              <w:rPr>
                <w:lang w:val="en-US"/>
              </w:rPr>
            </w:pPr>
            <w:r>
              <w:rPr>
                <w:lang w:val="en-US"/>
              </w:rPr>
              <w:t>Total costs</w:t>
            </w:r>
          </w:p>
        </w:tc>
        <w:tc>
          <w:tcPr>
            <w:tcW w:w="1442" w:type="dxa"/>
            <w:tcBorders>
              <w:top w:val="single" w:sz="4" w:space="0" w:color="auto"/>
            </w:tcBorders>
          </w:tcPr>
          <w:p w:rsidR="00D9026F" w:rsidRDefault="00D9026F" w:rsidP="006C0B08">
            <w:pPr>
              <w:spacing w:before="60" w:after="60" w:line="240" w:lineRule="auto"/>
              <w:jc w:val="center"/>
              <w:rPr>
                <w:lang w:val="en-US"/>
              </w:rPr>
            </w:pPr>
            <w:r>
              <w:rPr>
                <w:lang w:val="en-US"/>
              </w:rPr>
              <w:t>30917</w:t>
            </w:r>
          </w:p>
        </w:tc>
        <w:tc>
          <w:tcPr>
            <w:tcW w:w="1078" w:type="dxa"/>
            <w:tcBorders>
              <w:top w:val="single" w:sz="4" w:space="0" w:color="auto"/>
            </w:tcBorders>
          </w:tcPr>
          <w:p w:rsidR="00D9026F" w:rsidRDefault="00D9026F" w:rsidP="006C0B08">
            <w:pPr>
              <w:spacing w:before="60" w:after="60" w:line="240" w:lineRule="auto"/>
              <w:jc w:val="center"/>
              <w:rPr>
                <w:lang w:val="en-US"/>
              </w:rPr>
            </w:pPr>
            <w:r>
              <w:rPr>
                <w:lang w:val="en-US"/>
              </w:rPr>
              <w:t>11328</w:t>
            </w:r>
          </w:p>
        </w:tc>
        <w:tc>
          <w:tcPr>
            <w:tcW w:w="1080" w:type="dxa"/>
            <w:tcBorders>
              <w:top w:val="single" w:sz="4" w:space="0" w:color="auto"/>
            </w:tcBorders>
          </w:tcPr>
          <w:p w:rsidR="00D9026F" w:rsidRDefault="00D9026F" w:rsidP="006C0B08">
            <w:pPr>
              <w:spacing w:before="60" w:after="60" w:line="240" w:lineRule="auto"/>
              <w:jc w:val="center"/>
              <w:rPr>
                <w:lang w:val="en-US"/>
              </w:rPr>
            </w:pPr>
            <w:r>
              <w:rPr>
                <w:lang w:val="en-US"/>
              </w:rPr>
              <w:t>43242</w:t>
            </w:r>
          </w:p>
        </w:tc>
        <w:tc>
          <w:tcPr>
            <w:tcW w:w="1080" w:type="dxa"/>
            <w:tcBorders>
              <w:top w:val="single" w:sz="4" w:space="0" w:color="auto"/>
            </w:tcBorders>
          </w:tcPr>
          <w:p w:rsidR="00D9026F" w:rsidRDefault="00D9026F" w:rsidP="006C0B08">
            <w:pPr>
              <w:spacing w:before="60" w:after="60" w:line="240" w:lineRule="auto"/>
              <w:jc w:val="center"/>
              <w:rPr>
                <w:lang w:val="en-US"/>
              </w:rPr>
            </w:pPr>
            <w:r>
              <w:rPr>
                <w:lang w:val="en-US"/>
              </w:rPr>
              <w:t>3372</w:t>
            </w:r>
          </w:p>
        </w:tc>
        <w:tc>
          <w:tcPr>
            <w:tcW w:w="1096" w:type="dxa"/>
            <w:tcBorders>
              <w:top w:val="single" w:sz="4" w:space="0" w:color="auto"/>
            </w:tcBorders>
          </w:tcPr>
          <w:p w:rsidR="00D9026F" w:rsidRDefault="00D9026F" w:rsidP="006C0B08">
            <w:pPr>
              <w:spacing w:before="60" w:after="60" w:line="240" w:lineRule="auto"/>
              <w:jc w:val="center"/>
              <w:rPr>
                <w:lang w:val="en-US"/>
              </w:rPr>
            </w:pPr>
            <w:r>
              <w:rPr>
                <w:lang w:val="en-US"/>
              </w:rPr>
              <w:t>1718</w:t>
            </w:r>
          </w:p>
        </w:tc>
        <w:tc>
          <w:tcPr>
            <w:tcW w:w="1490" w:type="dxa"/>
            <w:tcBorders>
              <w:top w:val="single" w:sz="4" w:space="0" w:color="auto"/>
            </w:tcBorders>
          </w:tcPr>
          <w:p w:rsidR="00D9026F" w:rsidRDefault="00D9026F" w:rsidP="006C0B08">
            <w:pPr>
              <w:spacing w:before="60" w:after="60" w:line="240" w:lineRule="auto"/>
              <w:jc w:val="center"/>
              <w:rPr>
                <w:lang w:val="en-US"/>
              </w:rPr>
            </w:pPr>
            <w:r>
              <w:rPr>
                <w:lang w:val="en-US"/>
              </w:rPr>
              <w:t>436</w:t>
            </w:r>
          </w:p>
        </w:tc>
      </w:tr>
      <w:tr w:rsidR="00D9026F" w:rsidRPr="00FC7C40" w:rsidTr="006C0B08">
        <w:tc>
          <w:tcPr>
            <w:tcW w:w="1548" w:type="dxa"/>
            <w:tcBorders>
              <w:bottom w:val="single" w:sz="4" w:space="0" w:color="auto"/>
            </w:tcBorders>
          </w:tcPr>
          <w:p w:rsidR="00D9026F" w:rsidRDefault="00D9026F">
            <w:pPr>
              <w:spacing w:before="60" w:after="60" w:line="240" w:lineRule="auto"/>
              <w:rPr>
                <w:lang w:val="en-US"/>
              </w:rPr>
            </w:pPr>
            <w:r>
              <w:rPr>
                <w:lang w:val="en-US"/>
              </w:rPr>
              <w:t>Marg. Costs</w:t>
            </w:r>
          </w:p>
        </w:tc>
        <w:tc>
          <w:tcPr>
            <w:tcW w:w="1442" w:type="dxa"/>
            <w:tcBorders>
              <w:bottom w:val="single" w:sz="4" w:space="0" w:color="auto"/>
            </w:tcBorders>
          </w:tcPr>
          <w:p w:rsidR="00D9026F" w:rsidRDefault="00D9026F" w:rsidP="006C0B08">
            <w:pPr>
              <w:spacing w:before="60" w:after="60" w:line="240" w:lineRule="auto"/>
              <w:jc w:val="center"/>
              <w:rPr>
                <w:lang w:val="en-US"/>
              </w:rPr>
            </w:pPr>
            <w:r>
              <w:rPr>
                <w:lang w:val="en-US"/>
              </w:rPr>
              <w:t>75.5</w:t>
            </w:r>
          </w:p>
        </w:tc>
        <w:tc>
          <w:tcPr>
            <w:tcW w:w="1078" w:type="dxa"/>
            <w:tcBorders>
              <w:bottom w:val="single" w:sz="4" w:space="0" w:color="auto"/>
            </w:tcBorders>
          </w:tcPr>
          <w:p w:rsidR="00D9026F" w:rsidRDefault="00D9026F" w:rsidP="006C0B08">
            <w:pPr>
              <w:spacing w:before="60" w:after="60" w:line="240" w:lineRule="auto"/>
              <w:jc w:val="center"/>
              <w:rPr>
                <w:lang w:val="en-US"/>
              </w:rPr>
            </w:pPr>
            <w:r>
              <w:rPr>
                <w:lang w:val="en-US"/>
              </w:rPr>
              <w:t>25.9</w:t>
            </w:r>
          </w:p>
        </w:tc>
        <w:tc>
          <w:tcPr>
            <w:tcW w:w="1080" w:type="dxa"/>
            <w:tcBorders>
              <w:bottom w:val="single" w:sz="4" w:space="0" w:color="auto"/>
            </w:tcBorders>
          </w:tcPr>
          <w:p w:rsidR="00D9026F" w:rsidRDefault="00D9026F" w:rsidP="006C0B08">
            <w:pPr>
              <w:spacing w:before="60" w:after="60" w:line="240" w:lineRule="auto"/>
              <w:jc w:val="center"/>
              <w:rPr>
                <w:lang w:val="en-US"/>
              </w:rPr>
            </w:pPr>
            <w:r>
              <w:rPr>
                <w:lang w:val="en-US"/>
              </w:rPr>
              <w:t>326.8</w:t>
            </w:r>
          </w:p>
        </w:tc>
        <w:tc>
          <w:tcPr>
            <w:tcW w:w="1080" w:type="dxa"/>
            <w:tcBorders>
              <w:bottom w:val="single" w:sz="4" w:space="0" w:color="auto"/>
            </w:tcBorders>
          </w:tcPr>
          <w:p w:rsidR="00D9026F" w:rsidRDefault="00D9026F" w:rsidP="006C0B08">
            <w:pPr>
              <w:spacing w:before="60" w:after="60" w:line="240" w:lineRule="auto"/>
              <w:jc w:val="center"/>
              <w:rPr>
                <w:lang w:val="en-US"/>
              </w:rPr>
            </w:pPr>
            <w:r>
              <w:rPr>
                <w:lang w:val="en-US"/>
              </w:rPr>
              <w:t>57.4</w:t>
            </w:r>
          </w:p>
        </w:tc>
        <w:tc>
          <w:tcPr>
            <w:tcW w:w="1096" w:type="dxa"/>
            <w:tcBorders>
              <w:bottom w:val="single" w:sz="4" w:space="0" w:color="auto"/>
            </w:tcBorders>
          </w:tcPr>
          <w:p w:rsidR="00D9026F" w:rsidRDefault="00D9026F" w:rsidP="006C0B08">
            <w:pPr>
              <w:spacing w:before="60" w:after="60" w:line="240" w:lineRule="auto"/>
              <w:jc w:val="center"/>
              <w:rPr>
                <w:lang w:val="en-US"/>
              </w:rPr>
            </w:pPr>
            <w:r>
              <w:rPr>
                <w:lang w:val="en-US"/>
              </w:rPr>
              <w:t>41.3</w:t>
            </w:r>
          </w:p>
        </w:tc>
        <w:tc>
          <w:tcPr>
            <w:tcW w:w="1490" w:type="dxa"/>
            <w:tcBorders>
              <w:bottom w:val="single" w:sz="4" w:space="0" w:color="auto"/>
            </w:tcBorders>
          </w:tcPr>
          <w:p w:rsidR="00D9026F" w:rsidRDefault="00D9026F" w:rsidP="006C0B08">
            <w:pPr>
              <w:spacing w:before="60" w:after="60" w:line="240" w:lineRule="auto"/>
              <w:jc w:val="center"/>
              <w:rPr>
                <w:lang w:val="en-US"/>
              </w:rPr>
            </w:pPr>
            <w:r>
              <w:rPr>
                <w:lang w:val="en-US"/>
              </w:rPr>
              <w:t>5.9</w:t>
            </w:r>
          </w:p>
        </w:tc>
      </w:tr>
      <w:tr w:rsidR="00D9026F" w:rsidRPr="00FC7C40" w:rsidTr="006C0B08">
        <w:tc>
          <w:tcPr>
            <w:tcW w:w="1548" w:type="dxa"/>
            <w:tcBorders>
              <w:top w:val="single" w:sz="4" w:space="0" w:color="auto"/>
              <w:bottom w:val="single" w:sz="4" w:space="0" w:color="auto"/>
            </w:tcBorders>
          </w:tcPr>
          <w:p w:rsidR="00D9026F" w:rsidRDefault="00D9026F">
            <w:pPr>
              <w:spacing w:before="60" w:after="60" w:line="240" w:lineRule="auto"/>
              <w:rPr>
                <w:lang w:val="en-US"/>
              </w:rPr>
            </w:pPr>
          </w:p>
        </w:tc>
        <w:tc>
          <w:tcPr>
            <w:tcW w:w="1442" w:type="dxa"/>
            <w:tcBorders>
              <w:top w:val="single" w:sz="4" w:space="0" w:color="auto"/>
              <w:bottom w:val="single" w:sz="4" w:space="0" w:color="auto"/>
            </w:tcBorders>
          </w:tcPr>
          <w:p w:rsidR="00D9026F" w:rsidRDefault="00D9026F" w:rsidP="006C0B08">
            <w:pPr>
              <w:spacing w:before="60" w:after="60" w:line="240" w:lineRule="auto"/>
              <w:jc w:val="center"/>
              <w:rPr>
                <w:lang w:val="en-US"/>
              </w:rPr>
            </w:pPr>
            <w:r>
              <w:rPr>
                <w:lang w:val="en-US"/>
              </w:rPr>
              <w:t>South Korea</w:t>
            </w:r>
          </w:p>
        </w:tc>
        <w:tc>
          <w:tcPr>
            <w:tcW w:w="1078" w:type="dxa"/>
            <w:tcBorders>
              <w:top w:val="single" w:sz="4" w:space="0" w:color="auto"/>
              <w:bottom w:val="single" w:sz="4" w:space="0" w:color="auto"/>
            </w:tcBorders>
          </w:tcPr>
          <w:p w:rsidR="00D9026F" w:rsidRDefault="00D9026F" w:rsidP="006C0B08">
            <w:pPr>
              <w:spacing w:before="60" w:after="60" w:line="240" w:lineRule="auto"/>
              <w:jc w:val="center"/>
              <w:rPr>
                <w:lang w:val="en-US"/>
              </w:rPr>
            </w:pPr>
            <w:r>
              <w:rPr>
                <w:lang w:val="en-US"/>
              </w:rPr>
              <w:t>Mexico</w:t>
            </w:r>
          </w:p>
        </w:tc>
        <w:tc>
          <w:tcPr>
            <w:tcW w:w="1080" w:type="dxa"/>
            <w:tcBorders>
              <w:top w:val="single" w:sz="4" w:space="0" w:color="auto"/>
              <w:bottom w:val="single" w:sz="4" w:space="0" w:color="auto"/>
            </w:tcBorders>
          </w:tcPr>
          <w:p w:rsidR="00D9026F" w:rsidRDefault="00D9026F" w:rsidP="006C0B08">
            <w:pPr>
              <w:spacing w:before="60" w:after="60" w:line="240" w:lineRule="auto"/>
              <w:jc w:val="center"/>
              <w:rPr>
                <w:lang w:val="en-US"/>
              </w:rPr>
            </w:pPr>
            <w:r>
              <w:rPr>
                <w:lang w:val="en-US"/>
              </w:rPr>
              <w:t>China</w:t>
            </w:r>
          </w:p>
        </w:tc>
        <w:tc>
          <w:tcPr>
            <w:tcW w:w="1080" w:type="dxa"/>
            <w:tcBorders>
              <w:top w:val="single" w:sz="4" w:space="0" w:color="auto"/>
              <w:bottom w:val="single" w:sz="4" w:space="0" w:color="auto"/>
            </w:tcBorders>
          </w:tcPr>
          <w:p w:rsidR="00D9026F" w:rsidRDefault="00D9026F" w:rsidP="006C0B08">
            <w:pPr>
              <w:spacing w:before="60" w:after="60" w:line="240" w:lineRule="auto"/>
              <w:jc w:val="center"/>
              <w:rPr>
                <w:lang w:val="en-US"/>
              </w:rPr>
            </w:pPr>
            <w:r>
              <w:rPr>
                <w:lang w:val="en-US"/>
              </w:rPr>
              <w:t>India</w:t>
            </w:r>
          </w:p>
        </w:tc>
        <w:tc>
          <w:tcPr>
            <w:tcW w:w="1096" w:type="dxa"/>
            <w:tcBorders>
              <w:top w:val="single" w:sz="4" w:space="0" w:color="auto"/>
              <w:bottom w:val="single" w:sz="4" w:space="0" w:color="auto"/>
            </w:tcBorders>
          </w:tcPr>
          <w:p w:rsidR="00D9026F" w:rsidRDefault="00D9026F" w:rsidP="006C0B08">
            <w:pPr>
              <w:spacing w:before="60" w:after="60" w:line="240" w:lineRule="auto"/>
              <w:jc w:val="center"/>
              <w:rPr>
                <w:lang w:val="en-US"/>
              </w:rPr>
            </w:pPr>
            <w:r>
              <w:rPr>
                <w:lang w:val="en-US"/>
              </w:rPr>
              <w:t>Brazil</w:t>
            </w:r>
          </w:p>
        </w:tc>
        <w:tc>
          <w:tcPr>
            <w:tcW w:w="1490" w:type="dxa"/>
            <w:tcBorders>
              <w:top w:val="single" w:sz="4" w:space="0" w:color="auto"/>
              <w:bottom w:val="single" w:sz="4" w:space="0" w:color="auto"/>
            </w:tcBorders>
          </w:tcPr>
          <w:p w:rsidR="00D9026F" w:rsidRDefault="00D9026F" w:rsidP="006C0B08">
            <w:pPr>
              <w:spacing w:before="60" w:after="60" w:line="240" w:lineRule="auto"/>
              <w:jc w:val="center"/>
              <w:rPr>
                <w:lang w:val="en-US"/>
              </w:rPr>
            </w:pPr>
            <w:r>
              <w:rPr>
                <w:lang w:val="en-US"/>
              </w:rPr>
              <w:t>South Africa</w:t>
            </w:r>
          </w:p>
        </w:tc>
      </w:tr>
      <w:tr w:rsidR="00D9026F" w:rsidRPr="004F6A1C" w:rsidTr="006C0B08">
        <w:tc>
          <w:tcPr>
            <w:tcW w:w="1548" w:type="dxa"/>
            <w:tcBorders>
              <w:top w:val="single" w:sz="4" w:space="0" w:color="auto"/>
            </w:tcBorders>
          </w:tcPr>
          <w:p w:rsidR="00D9026F" w:rsidRDefault="00D9026F">
            <w:pPr>
              <w:spacing w:before="60" w:after="60" w:line="240" w:lineRule="auto"/>
              <w:rPr>
                <w:lang w:val="en-US"/>
              </w:rPr>
            </w:pPr>
            <w:r>
              <w:rPr>
                <w:lang w:val="en-US"/>
              </w:rPr>
              <w:t>Total costs</w:t>
            </w:r>
          </w:p>
        </w:tc>
        <w:tc>
          <w:tcPr>
            <w:tcW w:w="1442" w:type="dxa"/>
            <w:tcBorders>
              <w:top w:val="single" w:sz="4" w:space="0" w:color="auto"/>
            </w:tcBorders>
          </w:tcPr>
          <w:p w:rsidR="00D9026F" w:rsidRDefault="00D9026F" w:rsidP="006C0B08">
            <w:pPr>
              <w:spacing w:before="60" w:after="60" w:line="240" w:lineRule="auto"/>
              <w:jc w:val="center"/>
              <w:rPr>
                <w:lang w:val="en-US"/>
              </w:rPr>
            </w:pPr>
            <w:r>
              <w:rPr>
                <w:lang w:val="en-US"/>
              </w:rPr>
              <w:t>1228</w:t>
            </w:r>
          </w:p>
        </w:tc>
        <w:tc>
          <w:tcPr>
            <w:tcW w:w="1078" w:type="dxa"/>
            <w:tcBorders>
              <w:top w:val="single" w:sz="4" w:space="0" w:color="auto"/>
            </w:tcBorders>
          </w:tcPr>
          <w:p w:rsidR="00D9026F" w:rsidRDefault="00D9026F" w:rsidP="006C0B08">
            <w:pPr>
              <w:spacing w:before="60" w:after="60" w:line="240" w:lineRule="auto"/>
              <w:jc w:val="center"/>
              <w:rPr>
                <w:lang w:val="en-US"/>
              </w:rPr>
            </w:pPr>
            <w:r>
              <w:rPr>
                <w:lang w:val="en-US"/>
              </w:rPr>
              <w:t>1737</w:t>
            </w:r>
          </w:p>
        </w:tc>
        <w:tc>
          <w:tcPr>
            <w:tcW w:w="1080" w:type="dxa"/>
            <w:tcBorders>
              <w:top w:val="single" w:sz="4" w:space="0" w:color="auto"/>
            </w:tcBorders>
          </w:tcPr>
          <w:p w:rsidR="00D9026F" w:rsidRDefault="00D9026F" w:rsidP="006C0B08">
            <w:pPr>
              <w:spacing w:before="60" w:after="60" w:line="240" w:lineRule="auto"/>
              <w:jc w:val="center"/>
              <w:rPr>
                <w:lang w:val="en-US"/>
              </w:rPr>
            </w:pPr>
            <w:r>
              <w:rPr>
                <w:lang w:val="en-US"/>
              </w:rPr>
              <w:t>1073</w:t>
            </w:r>
          </w:p>
        </w:tc>
        <w:tc>
          <w:tcPr>
            <w:tcW w:w="1080" w:type="dxa"/>
            <w:tcBorders>
              <w:top w:val="single" w:sz="4" w:space="0" w:color="auto"/>
            </w:tcBorders>
          </w:tcPr>
          <w:p w:rsidR="00D9026F" w:rsidRDefault="00D9026F" w:rsidP="006C0B08">
            <w:pPr>
              <w:spacing w:before="60" w:after="60" w:line="240" w:lineRule="auto"/>
              <w:jc w:val="center"/>
              <w:rPr>
                <w:lang w:val="en-US"/>
              </w:rPr>
            </w:pPr>
            <w:r>
              <w:rPr>
                <w:lang w:val="en-US"/>
              </w:rPr>
              <w:t>219</w:t>
            </w:r>
          </w:p>
        </w:tc>
        <w:tc>
          <w:tcPr>
            <w:tcW w:w="1096" w:type="dxa"/>
            <w:tcBorders>
              <w:top w:val="single" w:sz="4" w:space="0" w:color="auto"/>
            </w:tcBorders>
          </w:tcPr>
          <w:p w:rsidR="00D9026F" w:rsidRDefault="00D9026F" w:rsidP="006C0B08">
            <w:pPr>
              <w:spacing w:before="60" w:after="60" w:line="240" w:lineRule="auto"/>
              <w:jc w:val="center"/>
              <w:rPr>
                <w:lang w:val="en-US"/>
              </w:rPr>
            </w:pPr>
            <w:r>
              <w:rPr>
                <w:lang w:val="en-US"/>
              </w:rPr>
              <w:t>3485</w:t>
            </w:r>
          </w:p>
        </w:tc>
        <w:tc>
          <w:tcPr>
            <w:tcW w:w="1490" w:type="dxa"/>
            <w:tcBorders>
              <w:top w:val="single" w:sz="4" w:space="0" w:color="auto"/>
            </w:tcBorders>
          </w:tcPr>
          <w:p w:rsidR="00D9026F" w:rsidRDefault="00D9026F" w:rsidP="006C0B08">
            <w:pPr>
              <w:spacing w:before="60" w:after="60" w:line="240" w:lineRule="auto"/>
              <w:jc w:val="center"/>
              <w:rPr>
                <w:lang w:val="en-US"/>
              </w:rPr>
            </w:pPr>
            <w:r>
              <w:rPr>
                <w:lang w:val="en-US"/>
              </w:rPr>
              <w:t>440</w:t>
            </w:r>
          </w:p>
        </w:tc>
      </w:tr>
      <w:tr w:rsidR="00D9026F" w:rsidRPr="004F6A1C" w:rsidTr="006C0B08">
        <w:tc>
          <w:tcPr>
            <w:tcW w:w="1548" w:type="dxa"/>
            <w:tcBorders>
              <w:bottom w:val="single" w:sz="12" w:space="0" w:color="auto"/>
            </w:tcBorders>
          </w:tcPr>
          <w:p w:rsidR="00D9026F" w:rsidRDefault="00D9026F">
            <w:pPr>
              <w:spacing w:before="60" w:after="60" w:line="240" w:lineRule="auto"/>
              <w:rPr>
                <w:lang w:val="en-US"/>
              </w:rPr>
            </w:pPr>
            <w:r>
              <w:rPr>
                <w:lang w:val="en-US"/>
              </w:rPr>
              <w:t>Marg. Costs</w:t>
            </w:r>
          </w:p>
        </w:tc>
        <w:tc>
          <w:tcPr>
            <w:tcW w:w="1442" w:type="dxa"/>
            <w:tcBorders>
              <w:bottom w:val="single" w:sz="12" w:space="0" w:color="auto"/>
            </w:tcBorders>
          </w:tcPr>
          <w:p w:rsidR="00D9026F" w:rsidRDefault="00D9026F" w:rsidP="006C0B08">
            <w:pPr>
              <w:spacing w:before="60" w:after="60" w:line="240" w:lineRule="auto"/>
              <w:jc w:val="center"/>
              <w:rPr>
                <w:lang w:val="en-US"/>
              </w:rPr>
            </w:pPr>
            <w:r>
              <w:rPr>
                <w:lang w:val="en-US"/>
              </w:rPr>
              <w:t>30.4</w:t>
            </w:r>
          </w:p>
        </w:tc>
        <w:tc>
          <w:tcPr>
            <w:tcW w:w="1078" w:type="dxa"/>
            <w:tcBorders>
              <w:bottom w:val="single" w:sz="12" w:space="0" w:color="auto"/>
            </w:tcBorders>
          </w:tcPr>
          <w:p w:rsidR="00D9026F" w:rsidRDefault="00D9026F" w:rsidP="006C0B08">
            <w:pPr>
              <w:spacing w:before="60" w:after="60" w:line="240" w:lineRule="auto"/>
              <w:jc w:val="center"/>
              <w:rPr>
                <w:lang w:val="en-US"/>
              </w:rPr>
            </w:pPr>
            <w:r>
              <w:rPr>
                <w:lang w:val="en-US"/>
              </w:rPr>
              <w:t>48.5</w:t>
            </w:r>
          </w:p>
        </w:tc>
        <w:tc>
          <w:tcPr>
            <w:tcW w:w="1080" w:type="dxa"/>
            <w:tcBorders>
              <w:bottom w:val="single" w:sz="12" w:space="0" w:color="auto"/>
            </w:tcBorders>
          </w:tcPr>
          <w:p w:rsidR="00D9026F" w:rsidRDefault="00D9026F" w:rsidP="006C0B08">
            <w:pPr>
              <w:spacing w:before="60" w:after="60" w:line="240" w:lineRule="auto"/>
              <w:jc w:val="center"/>
              <w:rPr>
                <w:lang w:val="en-US"/>
              </w:rPr>
            </w:pPr>
            <w:r>
              <w:rPr>
                <w:lang w:val="en-US"/>
              </w:rPr>
              <w:t>4.2</w:t>
            </w:r>
          </w:p>
        </w:tc>
        <w:tc>
          <w:tcPr>
            <w:tcW w:w="1080" w:type="dxa"/>
            <w:tcBorders>
              <w:bottom w:val="single" w:sz="12" w:space="0" w:color="auto"/>
            </w:tcBorders>
          </w:tcPr>
          <w:p w:rsidR="00D9026F" w:rsidRDefault="00D9026F" w:rsidP="006C0B08">
            <w:pPr>
              <w:spacing w:before="60" w:after="60" w:line="240" w:lineRule="auto"/>
              <w:jc w:val="center"/>
              <w:rPr>
                <w:lang w:val="en-US"/>
              </w:rPr>
            </w:pPr>
            <w:r>
              <w:rPr>
                <w:lang w:val="en-US"/>
              </w:rPr>
              <w:t>4.7</w:t>
            </w:r>
          </w:p>
        </w:tc>
        <w:tc>
          <w:tcPr>
            <w:tcW w:w="1096" w:type="dxa"/>
            <w:tcBorders>
              <w:bottom w:val="single" w:sz="12" w:space="0" w:color="auto"/>
            </w:tcBorders>
          </w:tcPr>
          <w:p w:rsidR="00D9026F" w:rsidRDefault="00D9026F" w:rsidP="006C0B08">
            <w:pPr>
              <w:spacing w:before="60" w:after="60" w:line="240" w:lineRule="auto"/>
              <w:jc w:val="center"/>
              <w:rPr>
                <w:lang w:val="en-US"/>
              </w:rPr>
            </w:pPr>
            <w:r>
              <w:rPr>
                <w:lang w:val="en-US"/>
              </w:rPr>
              <w:t>95.7</w:t>
            </w:r>
          </w:p>
        </w:tc>
        <w:tc>
          <w:tcPr>
            <w:tcW w:w="1490" w:type="dxa"/>
            <w:tcBorders>
              <w:bottom w:val="single" w:sz="12" w:space="0" w:color="auto"/>
            </w:tcBorders>
          </w:tcPr>
          <w:p w:rsidR="00D9026F" w:rsidRDefault="00D9026F" w:rsidP="006C0B08">
            <w:pPr>
              <w:spacing w:before="60" w:after="60" w:line="240" w:lineRule="auto"/>
              <w:jc w:val="center"/>
              <w:rPr>
                <w:lang w:val="en-US"/>
              </w:rPr>
            </w:pPr>
            <w:r>
              <w:rPr>
                <w:lang w:val="en-US"/>
              </w:rPr>
              <w:t>8.5</w:t>
            </w:r>
          </w:p>
        </w:tc>
      </w:tr>
    </w:tbl>
    <w:p w:rsidR="00D9026F" w:rsidRPr="008D4DFC" w:rsidRDefault="00D9026F" w:rsidP="00DB00B8">
      <w:pPr>
        <w:jc w:val="both"/>
        <w:rPr>
          <w:color w:val="FF0000"/>
          <w:lang w:val="en-US"/>
        </w:rPr>
      </w:pPr>
    </w:p>
    <w:p w:rsidR="00D9026F" w:rsidRPr="008D4DFC" w:rsidRDefault="00D9026F" w:rsidP="00BD03CC">
      <w:pPr>
        <w:jc w:val="both"/>
        <w:rPr>
          <w:lang w:val="en-US"/>
        </w:rPr>
      </w:pPr>
      <w:r w:rsidRPr="008D4DFC">
        <w:rPr>
          <w:lang w:val="en-US"/>
        </w:rPr>
        <w:t xml:space="preserve">Let us first consider the effects of regional expansion. Figure 4 shows how the costs of complying with the national target are reduced vis-à-vis the no-trading case when a country is part of a coalition, and how these cost reductions change as the coalition expands. </w:t>
      </w:r>
      <w:r>
        <w:rPr>
          <w:lang w:val="en-US"/>
        </w:rPr>
        <w:t>S</w:t>
      </w:r>
      <w:r w:rsidRPr="008D4DFC">
        <w:rPr>
          <w:lang w:val="en-US"/>
        </w:rPr>
        <w:t xml:space="preserve">ectoral coverage is </w:t>
      </w:r>
      <w:r>
        <w:rPr>
          <w:lang w:val="en-US"/>
        </w:rPr>
        <w:t>then</w:t>
      </w:r>
      <w:r w:rsidRPr="008D4DFC">
        <w:rPr>
          <w:lang w:val="en-US"/>
        </w:rPr>
        <w:t xml:space="preserve"> kept constant at variant </w:t>
      </w:r>
      <w:r w:rsidRPr="008D4DFC">
        <w:rPr>
          <w:i/>
          <w:iCs/>
          <w:lang w:val="en-US"/>
        </w:rPr>
        <w:t>EIS</w:t>
      </w:r>
      <w:r w:rsidRPr="008D4DFC">
        <w:rPr>
          <w:lang w:val="en-US"/>
        </w:rPr>
        <w:t xml:space="preserve"> which reflects the actual coverage of the EU ETS. We see for instance that U.S. costs are reduced by 20% when joining a coalition with the EU (C1), </w:t>
      </w:r>
      <w:r>
        <w:rPr>
          <w:lang w:val="en-US"/>
        </w:rPr>
        <w:t>with</w:t>
      </w:r>
      <w:r w:rsidRPr="008D4DFC">
        <w:rPr>
          <w:lang w:val="en-US"/>
        </w:rPr>
        <w:t xml:space="preserve"> </w:t>
      </w:r>
      <w:r>
        <w:rPr>
          <w:lang w:val="en-US"/>
        </w:rPr>
        <w:t>the cost reduction growing</w:t>
      </w:r>
      <w:r w:rsidRPr="008D4DFC">
        <w:rPr>
          <w:lang w:val="en-US"/>
        </w:rPr>
        <w:t xml:space="preserve"> to 53% when Canada, Japan and Australia are also included (C2). However, when even more countries are included, U.S. compliance costs start to increase, and in the largest coalition there are only rather modest gains vis-à-vis the autarky for the US</w:t>
      </w:r>
      <w:r>
        <w:rPr>
          <w:lang w:val="en-US"/>
        </w:rPr>
        <w:t>A</w:t>
      </w:r>
      <w:r w:rsidRPr="008D4DFC">
        <w:rPr>
          <w:lang w:val="en-US"/>
        </w:rPr>
        <w:t>. The reasoning behind is that the quota price changes depending on who is part of the coalition – if the quota price then becomes close to the autarky quota price, there is little to gain from external trade.</w:t>
      </w:r>
    </w:p>
    <w:p w:rsidR="00D9026F" w:rsidRDefault="00D9026F" w:rsidP="003616FF">
      <w:pPr>
        <w:jc w:val="both"/>
        <w:rPr>
          <w:lang w:val="en-US"/>
        </w:rPr>
      </w:pPr>
    </w:p>
    <w:p w:rsidR="00D9026F" w:rsidRDefault="00D9026F" w:rsidP="00014F22">
      <w:pPr>
        <w:jc w:val="both"/>
        <w:rPr>
          <w:bCs/>
          <w:lang w:val="en-US"/>
        </w:rPr>
      </w:pPr>
      <w:r w:rsidRPr="008D4DFC">
        <w:rPr>
          <w:lang w:val="en-US"/>
        </w:rPr>
        <w:t xml:space="preserve">Note that Russia, China and India see their costs turn into a net gain when they join the international emissions trading scheme since the revenues from permit exports more than offset their abatement costs. The cost reductions for these countries in Figures 4, 7 and 8 are measured along the right-hand axis (RH). For instance, the cost reduction of 1800% for Russia under coalition C3 means that the abatement costs without international emissions trading have turned into a gain that is 17 times as large as the </w:t>
      </w:r>
      <w:r>
        <w:rPr>
          <w:lang w:val="en-US"/>
        </w:rPr>
        <w:t xml:space="preserve">No Trade </w:t>
      </w:r>
      <w:r w:rsidRPr="008D4DFC">
        <w:rPr>
          <w:lang w:val="en-US"/>
        </w:rPr>
        <w:t>costs (note that the latter are rather small</w:t>
      </w:r>
      <w:r>
        <w:rPr>
          <w:lang w:val="en-US"/>
        </w:rPr>
        <w:t>, cf. Table 4</w:t>
      </w:r>
      <w:r w:rsidRPr="008D4DFC">
        <w:rPr>
          <w:lang w:val="en-US"/>
        </w:rPr>
        <w:t xml:space="preserve">). </w:t>
      </w:r>
    </w:p>
    <w:p w:rsidR="00D9026F" w:rsidRDefault="00D9026F" w:rsidP="00323AE7">
      <w:pPr>
        <w:spacing w:before="240" w:after="120"/>
        <w:jc w:val="both"/>
        <w:rPr>
          <w:noProof/>
        </w:rPr>
      </w:pPr>
      <w:r>
        <w:rPr>
          <w:bCs/>
          <w:lang w:val="en-US"/>
        </w:rPr>
        <w:br w:type="page"/>
      </w:r>
      <w:r w:rsidRPr="008D4DFC">
        <w:rPr>
          <w:bCs/>
          <w:lang w:val="en-US"/>
        </w:rPr>
        <w:lastRenderedPageBreak/>
        <w:t xml:space="preserve">Figure 4: </w:t>
      </w:r>
      <w:r>
        <w:rPr>
          <w:bCs/>
          <w:lang w:val="en-US"/>
        </w:rPr>
        <w:t>C</w:t>
      </w:r>
      <w:r w:rsidRPr="008D4DFC">
        <w:rPr>
          <w:bCs/>
          <w:lang w:val="en-US"/>
        </w:rPr>
        <w:t xml:space="preserve">ost reductions </w:t>
      </w:r>
      <w:r>
        <w:rPr>
          <w:bCs/>
          <w:lang w:val="en-US"/>
        </w:rPr>
        <w:t xml:space="preserve">vis-à-vis No Trade </w:t>
      </w:r>
      <w:r w:rsidRPr="008D4DFC">
        <w:rPr>
          <w:bCs/>
          <w:lang w:val="en-US"/>
        </w:rPr>
        <w:t>by expanding the coalition (</w:t>
      </w:r>
      <w:r>
        <w:rPr>
          <w:bCs/>
          <w:lang w:val="en-US"/>
        </w:rPr>
        <w:t xml:space="preserve">variant </w:t>
      </w:r>
      <w:r w:rsidRPr="00ED53A1">
        <w:rPr>
          <w:bCs/>
          <w:i/>
          <w:lang w:val="en-US"/>
        </w:rPr>
        <w:t>EIS</w:t>
      </w:r>
      <w:r w:rsidRPr="008D4DFC">
        <w:rPr>
          <w:bCs/>
          <w:lang w:val="en-US"/>
        </w:rPr>
        <w:t>)</w:t>
      </w:r>
    </w:p>
    <w:p w:rsidR="00D9026F" w:rsidRPr="008D4DFC" w:rsidRDefault="0083505D" w:rsidP="00B761E7">
      <w:pPr>
        <w:jc w:val="both"/>
        <w:rPr>
          <w:lang w:val="en-US"/>
        </w:rPr>
      </w:pPr>
      <w:r>
        <w:rPr>
          <w:noProof/>
          <w:lang w:val="en-GB" w:eastAsia="en-GB"/>
        </w:rPr>
        <w:drawing>
          <wp:inline distT="0" distB="0" distL="0" distR="0">
            <wp:extent cx="5400040" cy="3312795"/>
            <wp:effectExtent l="0" t="0" r="0" b="0"/>
            <wp:docPr id="63" name="Object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9026F" w:rsidRPr="008D4DFC" w:rsidRDefault="00D9026F" w:rsidP="00BD03CC">
      <w:pPr>
        <w:jc w:val="both"/>
        <w:rPr>
          <w:lang w:val="en-US"/>
        </w:rPr>
      </w:pPr>
      <w:r w:rsidRPr="008D4DFC">
        <w:rPr>
          <w:lang w:val="en-US"/>
        </w:rPr>
        <w:t xml:space="preserve">Figure 4 also illustrates that there will be opposite interests among current coalition members whether to invite new countries into the coalition or not. Again, this is related to </w:t>
      </w:r>
      <w:r>
        <w:rPr>
          <w:lang w:val="en-US"/>
        </w:rPr>
        <w:t xml:space="preserve">the direction in </w:t>
      </w:r>
      <w:r w:rsidRPr="008D4DFC">
        <w:rPr>
          <w:lang w:val="en-US"/>
        </w:rPr>
        <w:t>which the quota price will change, and which countries are importers and which are exporters. For instance, the USA (exporter of quotas) will oppose new members after Canada, Japan and Australia are included, because this would drive down the quota price, whereas the other countries (importers of quotas) would like to include new members. Thus, it may be difficult to agree upon an expansion of the ETS in the direction of new coalition members.</w:t>
      </w:r>
    </w:p>
    <w:p w:rsidR="00D9026F" w:rsidRPr="008D4DFC" w:rsidRDefault="00D9026F" w:rsidP="00B761E7">
      <w:pPr>
        <w:jc w:val="both"/>
        <w:rPr>
          <w:lang w:val="en-US"/>
        </w:rPr>
      </w:pPr>
    </w:p>
    <w:p w:rsidR="00D9026F" w:rsidRDefault="00D9026F" w:rsidP="00564B18">
      <w:pPr>
        <w:jc w:val="both"/>
        <w:rPr>
          <w:lang w:val="en-US"/>
        </w:rPr>
      </w:pPr>
      <w:bookmarkStart w:id="2" w:name="OLE_LINK1"/>
      <w:bookmarkStart w:id="3" w:name="OLE_LINK2"/>
      <w:r>
        <w:rPr>
          <w:lang w:val="en-US"/>
        </w:rPr>
        <w:t xml:space="preserve">Obviously, the effects of regional expansion depend on which regions are actually entering the coalition at which stage. The sequence displayed in Table 3 and Figure 4 is only one of several possible ones, although it may seem more realistic than some other sequences. To illustrate the </w:t>
      </w:r>
      <w:r>
        <w:rPr>
          <w:szCs w:val="22"/>
          <w:lang w:val="en-US"/>
        </w:rPr>
        <w:t>sensitivity of results with respect to regional expansion</w:t>
      </w:r>
      <w:r>
        <w:rPr>
          <w:lang w:val="en-US"/>
        </w:rPr>
        <w:t xml:space="preserve">, we show in Appendix D how regional expansion affects the cost reductions for the EU under different sequence assumptions. The most apparent result is - not surprisingly - that cost reductions are biggest whenever the BASIC countries join the coalition. Bringing more OECD countries into the coalition mostly benefits the EU if the BASIC countries are </w:t>
      </w:r>
      <w:r w:rsidRPr="002C6673">
        <w:rPr>
          <w:i/>
          <w:lang w:val="en-US"/>
        </w:rPr>
        <w:t>not</w:t>
      </w:r>
      <w:r>
        <w:rPr>
          <w:lang w:val="en-US"/>
        </w:rPr>
        <w:t xml:space="preserve"> part of the coalition, but increases EU’s compliance costs if the BASIC countries already take part, as the ETS price rises.</w:t>
      </w:r>
    </w:p>
    <w:p w:rsidR="00D9026F" w:rsidRPr="008D4DFC" w:rsidRDefault="00D9026F" w:rsidP="00564B18">
      <w:pPr>
        <w:jc w:val="both"/>
        <w:rPr>
          <w:lang w:val="en-US"/>
        </w:rPr>
      </w:pPr>
    </w:p>
    <w:bookmarkEnd w:id="2"/>
    <w:bookmarkEnd w:id="3"/>
    <w:p w:rsidR="00D9026F" w:rsidRPr="008D4DFC" w:rsidRDefault="00D9026F" w:rsidP="00B761E7">
      <w:pPr>
        <w:jc w:val="both"/>
        <w:rPr>
          <w:lang w:val="en-US"/>
        </w:rPr>
      </w:pPr>
      <w:r w:rsidRPr="008D4DFC">
        <w:rPr>
          <w:lang w:val="en-US"/>
        </w:rPr>
        <w:lastRenderedPageBreak/>
        <w:t xml:space="preserve">Figures 5 through 8 show – for a given coalition – how the costs are reduced when going from no-trading to international permit trading between electricity sectors only, and then further expanding the sectoral coverage of the ETS. </w:t>
      </w:r>
      <w:r>
        <w:rPr>
          <w:lang w:val="en-US"/>
        </w:rPr>
        <w:t>Consistent with Proposition 2, the cost effects of sectoral expansion are less pronounced than the effects of regional expansion seen in Figure 4. W</w:t>
      </w:r>
      <w:r w:rsidRPr="008D4DFC">
        <w:rPr>
          <w:lang w:val="en-US"/>
        </w:rPr>
        <w:t>e see that the biggest cost reductions already occur when opening for permit trade through a sufficiently large emission-intensive sector such as</w:t>
      </w:r>
      <w:r>
        <w:rPr>
          <w:lang w:val="en-US"/>
        </w:rPr>
        <w:t xml:space="preserve"> the</w:t>
      </w:r>
      <w:r w:rsidRPr="008D4DFC">
        <w:rPr>
          <w:lang w:val="en-US"/>
        </w:rPr>
        <w:t xml:space="preserve"> electricity sector (</w:t>
      </w:r>
      <w:r>
        <w:rPr>
          <w:lang w:val="en-US"/>
        </w:rPr>
        <w:t xml:space="preserve">variant </w:t>
      </w:r>
      <w:r w:rsidRPr="008D4DFC">
        <w:rPr>
          <w:i/>
          <w:lang w:val="en-US"/>
        </w:rPr>
        <w:t>ELE</w:t>
      </w:r>
      <w:r w:rsidRPr="008D4DFC">
        <w:rPr>
          <w:lang w:val="en-US"/>
        </w:rPr>
        <w:t xml:space="preserve">). Nevertheless, there are still some cost reductions to </w:t>
      </w:r>
      <w:r>
        <w:rPr>
          <w:lang w:val="en-US"/>
        </w:rPr>
        <w:t xml:space="preserve">be </w:t>
      </w:r>
      <w:r w:rsidRPr="008D4DFC">
        <w:rPr>
          <w:lang w:val="en-US"/>
        </w:rPr>
        <w:t>gain</w:t>
      </w:r>
      <w:r>
        <w:rPr>
          <w:lang w:val="en-US"/>
        </w:rPr>
        <w:t>ed</w:t>
      </w:r>
      <w:r w:rsidRPr="008D4DFC">
        <w:rPr>
          <w:lang w:val="en-US"/>
        </w:rPr>
        <w:t xml:space="preserve"> from expansion towards full coverage (</w:t>
      </w:r>
      <w:r w:rsidRPr="008D4DFC">
        <w:rPr>
          <w:i/>
          <w:lang w:val="en-US"/>
        </w:rPr>
        <w:t>C</w:t>
      </w:r>
      <w:r w:rsidRPr="008D4DFC">
        <w:rPr>
          <w:lang w:val="en-US"/>
        </w:rPr>
        <w:t xml:space="preserve">), indicating that there is some non-negligible strategic behavior. Aggregate costs are reduced by respectively 4%, 4%, 2% and 10% in coalitions C1, C2, C3 and C4 when going from </w:t>
      </w:r>
      <w:r w:rsidRPr="008D4DFC">
        <w:rPr>
          <w:i/>
          <w:lang w:val="en-US"/>
        </w:rPr>
        <w:t xml:space="preserve">ELE </w:t>
      </w:r>
      <w:r w:rsidRPr="008D4DFC">
        <w:rPr>
          <w:lang w:val="en-US"/>
        </w:rPr>
        <w:t>to full coverage. For individual countries such as Japan and Brazil, the cost reductions are even higher (16% and 19% in C4).</w:t>
      </w:r>
      <w:r>
        <w:rPr>
          <w:lang w:val="en-US"/>
        </w:rPr>
        <w:t xml:space="preserve"> </w:t>
      </w:r>
    </w:p>
    <w:p w:rsidR="00D9026F" w:rsidRPr="008D4DFC" w:rsidRDefault="00D9026F" w:rsidP="00B761E7">
      <w:pPr>
        <w:jc w:val="both"/>
        <w:rPr>
          <w:lang w:val="en-US"/>
        </w:rPr>
      </w:pPr>
    </w:p>
    <w:p w:rsidR="00D9026F" w:rsidRPr="008D4DFC" w:rsidRDefault="00D9026F" w:rsidP="00B761E7">
      <w:pPr>
        <w:jc w:val="both"/>
        <w:rPr>
          <w:lang w:val="en-US"/>
        </w:rPr>
      </w:pPr>
      <w:r w:rsidRPr="008D4DFC">
        <w:rPr>
          <w:lang w:val="en-US"/>
        </w:rPr>
        <w:t xml:space="preserve">Although cost savings usually increase with coverage, it is possible for countries to lose from sectoral expansion of the trading scheme, as pointed out in Section 2. For instance, in coalition C2, the USA loses when </w:t>
      </w:r>
      <w:r>
        <w:rPr>
          <w:lang w:val="en-US"/>
        </w:rPr>
        <w:t xml:space="preserve">the two last sectors </w:t>
      </w:r>
      <w:r w:rsidRPr="008D4DFC">
        <w:rPr>
          <w:lang w:val="en-US"/>
        </w:rPr>
        <w:t>are added to the trading scheme</w:t>
      </w:r>
      <w:r>
        <w:rPr>
          <w:lang w:val="en-US"/>
        </w:rPr>
        <w:t xml:space="preserve"> (variants </w:t>
      </w:r>
      <w:r>
        <w:rPr>
          <w:i/>
          <w:lang w:val="en-US"/>
        </w:rPr>
        <w:t xml:space="preserve">ROI </w:t>
      </w:r>
      <w:r>
        <w:rPr>
          <w:lang w:val="en-US"/>
        </w:rPr>
        <w:t xml:space="preserve">and </w:t>
      </w:r>
      <w:r>
        <w:rPr>
          <w:i/>
          <w:lang w:val="en-US"/>
        </w:rPr>
        <w:t>C</w:t>
      </w:r>
      <w:r>
        <w:rPr>
          <w:lang w:val="en-US"/>
        </w:rPr>
        <w:t>)</w:t>
      </w:r>
      <w:r w:rsidRPr="008D4DFC">
        <w:rPr>
          <w:lang w:val="en-US"/>
        </w:rPr>
        <w:t xml:space="preserve">. In coalition C3, the USA is best off with either only </w:t>
      </w:r>
      <w:r>
        <w:rPr>
          <w:lang w:val="en-US"/>
        </w:rPr>
        <w:t>the electricity sector included (</w:t>
      </w:r>
      <w:r w:rsidRPr="00EA1277">
        <w:rPr>
          <w:i/>
          <w:lang w:val="en-US"/>
        </w:rPr>
        <w:t>ELE</w:t>
      </w:r>
      <w:r>
        <w:rPr>
          <w:lang w:val="en-US"/>
        </w:rPr>
        <w:t>)</w:t>
      </w:r>
      <w:r w:rsidRPr="008D4DFC">
        <w:rPr>
          <w:i/>
          <w:lang w:val="en-US"/>
        </w:rPr>
        <w:t xml:space="preserve"> or</w:t>
      </w:r>
      <w:r w:rsidRPr="008D4DFC">
        <w:rPr>
          <w:lang w:val="en-US"/>
        </w:rPr>
        <w:t xml:space="preserve"> with all sectors but </w:t>
      </w:r>
      <w:r>
        <w:rPr>
          <w:lang w:val="en-US"/>
        </w:rPr>
        <w:t xml:space="preserve">final demand (variant </w:t>
      </w:r>
      <w:r w:rsidRPr="00EA1277">
        <w:rPr>
          <w:i/>
          <w:lang w:val="en-US"/>
        </w:rPr>
        <w:t>ROI</w:t>
      </w:r>
      <w:r>
        <w:rPr>
          <w:lang w:val="en-US"/>
        </w:rPr>
        <w:t>)</w:t>
      </w:r>
      <w:r w:rsidRPr="008D4DFC">
        <w:rPr>
          <w:i/>
          <w:lang w:val="en-US"/>
        </w:rPr>
        <w:t xml:space="preserve"> </w:t>
      </w:r>
      <w:r w:rsidRPr="008D4DFC">
        <w:rPr>
          <w:lang w:val="en-US"/>
        </w:rPr>
        <w:t xml:space="preserve">included in the ETS. Several countries achieve their largest cost reductions (or their highest overall gains) when </w:t>
      </w:r>
      <w:r w:rsidRPr="008D4DFC">
        <w:rPr>
          <w:i/>
          <w:lang w:val="en-US"/>
        </w:rPr>
        <w:t>only</w:t>
      </w:r>
      <w:r w:rsidRPr="008D4DFC">
        <w:rPr>
          <w:lang w:val="en-US"/>
        </w:rPr>
        <w:t xml:space="preserve"> </w:t>
      </w:r>
      <w:r w:rsidRPr="00EA1277">
        <w:rPr>
          <w:i/>
          <w:lang w:val="en-US"/>
        </w:rPr>
        <w:t>ELE</w:t>
      </w:r>
      <w:r w:rsidRPr="008D4DFC">
        <w:rPr>
          <w:lang w:val="en-US"/>
        </w:rPr>
        <w:t xml:space="preserve"> is included in the trading scheme. These are in particular Australia in coalition C2, and Russia, China, India and South Africa in coalition C4. </w:t>
      </w:r>
    </w:p>
    <w:p w:rsidR="00D9026F" w:rsidRPr="008D4DFC" w:rsidRDefault="00D9026F" w:rsidP="00B761E7">
      <w:pPr>
        <w:jc w:val="both"/>
        <w:rPr>
          <w:lang w:val="en-US"/>
        </w:rPr>
      </w:pPr>
    </w:p>
    <w:p w:rsidR="00D9026F" w:rsidRPr="008D4DFC" w:rsidRDefault="00D9026F" w:rsidP="002D6FB2">
      <w:pPr>
        <w:jc w:val="both"/>
        <w:rPr>
          <w:lang w:val="en-US"/>
        </w:rPr>
      </w:pPr>
      <w:r w:rsidRPr="008D4DFC">
        <w:rPr>
          <w:lang w:val="en-US"/>
        </w:rPr>
        <w:t xml:space="preserve">The impacts of sectoral expansion are generally largest when the coalition is small (the strategic influence of a single country falls as the coalition expands). This is particularly evident from the approximately horizontal curves in Figure 7 </w:t>
      </w:r>
      <w:r>
        <w:rPr>
          <w:lang w:val="en-US"/>
        </w:rPr>
        <w:t xml:space="preserve">(coalition C3) </w:t>
      </w:r>
      <w:r w:rsidRPr="008D4DFC">
        <w:rPr>
          <w:lang w:val="en-US"/>
        </w:rPr>
        <w:t xml:space="preserve">to the right of </w:t>
      </w:r>
      <w:r w:rsidRPr="008D4DFC">
        <w:rPr>
          <w:i/>
          <w:lang w:val="en-US"/>
        </w:rPr>
        <w:t>ELE</w:t>
      </w:r>
      <w:r w:rsidRPr="008D4DFC">
        <w:rPr>
          <w:lang w:val="en-US"/>
        </w:rPr>
        <w:t xml:space="preserve">. However, we notice some dramatic changes with the largest coalition in Figure 8, especially when we expand the ETS from </w:t>
      </w:r>
      <w:r w:rsidRPr="008D4DFC">
        <w:rPr>
          <w:i/>
          <w:lang w:val="en-US"/>
        </w:rPr>
        <w:t xml:space="preserve">ELE </w:t>
      </w:r>
      <w:r w:rsidRPr="008D4DFC">
        <w:rPr>
          <w:lang w:val="en-US"/>
        </w:rPr>
        <w:t xml:space="preserve">to </w:t>
      </w:r>
      <w:r w:rsidRPr="008D4DFC">
        <w:rPr>
          <w:i/>
          <w:lang w:val="en-US"/>
        </w:rPr>
        <w:t>EIS</w:t>
      </w:r>
      <w:r w:rsidRPr="008D4DFC">
        <w:rPr>
          <w:lang w:val="en-US"/>
        </w:rPr>
        <w:t xml:space="preserve">. In order to explain this, remember that China joins the coalition in C4. Chinese emissions are very large, with low abatement costs and only modest cutbacks (see Table 2). Thus, China is a dominant supplier of permits in C4, accounting for 77% of permit sales when all sectors are included in the ETS. Hence, the country has significant strategic incentives to cut back on the sales of permits. </w:t>
      </w:r>
    </w:p>
    <w:p w:rsidR="00D9026F" w:rsidRPr="008D4DFC" w:rsidRDefault="00D9026F" w:rsidP="00014F22">
      <w:pPr>
        <w:spacing w:before="240" w:after="120"/>
        <w:jc w:val="both"/>
        <w:rPr>
          <w:bCs/>
          <w:lang w:val="en-US"/>
        </w:rPr>
      </w:pPr>
      <w:r>
        <w:rPr>
          <w:bCs/>
          <w:lang w:val="en-US"/>
        </w:rPr>
        <w:br w:type="page"/>
      </w:r>
      <w:r w:rsidRPr="008D4DFC">
        <w:rPr>
          <w:bCs/>
          <w:lang w:val="en-US"/>
        </w:rPr>
        <w:lastRenderedPageBreak/>
        <w:t xml:space="preserve">Figure 5: </w:t>
      </w:r>
      <w:r>
        <w:rPr>
          <w:bCs/>
          <w:lang w:val="en-US"/>
        </w:rPr>
        <w:t>C</w:t>
      </w:r>
      <w:r w:rsidRPr="008D4DFC">
        <w:rPr>
          <w:bCs/>
          <w:lang w:val="en-US"/>
        </w:rPr>
        <w:t>ost reductions by adding more sectors (coalition C1)</w:t>
      </w:r>
    </w:p>
    <w:p w:rsidR="00D9026F" w:rsidRPr="008D4DFC" w:rsidRDefault="0083505D" w:rsidP="00837AF3">
      <w:pPr>
        <w:jc w:val="both"/>
        <w:rPr>
          <w:szCs w:val="20"/>
          <w:lang w:val="en-US"/>
        </w:rPr>
      </w:pPr>
      <w:r>
        <w:rPr>
          <w:noProof/>
          <w:lang w:val="en-GB" w:eastAsia="en-GB"/>
        </w:rPr>
        <w:drawing>
          <wp:inline distT="0" distB="0" distL="0" distR="0">
            <wp:extent cx="4994910" cy="3105785"/>
            <wp:effectExtent l="0" t="0" r="0" b="0"/>
            <wp:docPr id="6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94910" cy="3105785"/>
                    </a:xfrm>
                    <a:prstGeom prst="rect">
                      <a:avLst/>
                    </a:prstGeom>
                    <a:noFill/>
                    <a:ln>
                      <a:noFill/>
                    </a:ln>
                  </pic:spPr>
                </pic:pic>
              </a:graphicData>
            </a:graphic>
          </wp:inline>
        </w:drawing>
      </w:r>
      <w:r w:rsidR="00D9026F" w:rsidRPr="008D4DFC">
        <w:rPr>
          <w:szCs w:val="20"/>
          <w:lang w:val="en-US"/>
        </w:rPr>
        <w:t xml:space="preserve"> </w:t>
      </w:r>
    </w:p>
    <w:p w:rsidR="00D9026F" w:rsidRPr="008D4DFC" w:rsidRDefault="00D9026F" w:rsidP="00014F22">
      <w:pPr>
        <w:spacing w:before="240" w:after="120"/>
        <w:jc w:val="both"/>
        <w:rPr>
          <w:bCs/>
          <w:lang w:val="en-US"/>
        </w:rPr>
      </w:pPr>
      <w:r w:rsidRPr="008D4DFC">
        <w:rPr>
          <w:bCs/>
          <w:lang w:val="en-US"/>
        </w:rPr>
        <w:t xml:space="preserve">Figure 6: </w:t>
      </w:r>
      <w:r>
        <w:rPr>
          <w:bCs/>
          <w:lang w:val="en-US"/>
        </w:rPr>
        <w:t>C</w:t>
      </w:r>
      <w:r w:rsidRPr="008D4DFC">
        <w:rPr>
          <w:bCs/>
          <w:lang w:val="en-US"/>
        </w:rPr>
        <w:t>ost reductions by adding more sectors (coalition C2)</w:t>
      </w:r>
    </w:p>
    <w:p w:rsidR="00D9026F" w:rsidRPr="008D4DFC" w:rsidRDefault="0083505D" w:rsidP="00837AF3">
      <w:pPr>
        <w:jc w:val="both"/>
        <w:rPr>
          <w:b/>
          <w:sz w:val="22"/>
          <w:szCs w:val="20"/>
          <w:lang w:val="en-US"/>
        </w:rPr>
      </w:pPr>
      <w:r>
        <w:rPr>
          <w:noProof/>
          <w:lang w:val="en-GB" w:eastAsia="en-GB"/>
        </w:rPr>
        <w:drawing>
          <wp:inline distT="0" distB="0" distL="0" distR="0">
            <wp:extent cx="4994910" cy="3105785"/>
            <wp:effectExtent l="0" t="0" r="0" b="0"/>
            <wp:docPr id="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94910" cy="3105785"/>
                    </a:xfrm>
                    <a:prstGeom prst="rect">
                      <a:avLst/>
                    </a:prstGeom>
                    <a:noFill/>
                    <a:ln>
                      <a:noFill/>
                    </a:ln>
                  </pic:spPr>
                </pic:pic>
              </a:graphicData>
            </a:graphic>
          </wp:inline>
        </w:drawing>
      </w:r>
      <w:r w:rsidR="00D9026F" w:rsidRPr="008D4DFC">
        <w:rPr>
          <w:lang w:val="en-US"/>
        </w:rPr>
        <w:t xml:space="preserve"> </w:t>
      </w:r>
    </w:p>
    <w:p w:rsidR="00D9026F" w:rsidRPr="008D4DFC" w:rsidRDefault="00D9026F" w:rsidP="00014F22">
      <w:pPr>
        <w:spacing w:before="240" w:after="120"/>
        <w:jc w:val="both"/>
        <w:rPr>
          <w:bCs/>
          <w:lang w:val="en-US"/>
        </w:rPr>
      </w:pPr>
      <w:r>
        <w:rPr>
          <w:bCs/>
          <w:lang w:val="en-US"/>
        </w:rPr>
        <w:br w:type="page"/>
      </w:r>
      <w:r w:rsidRPr="008D4DFC">
        <w:rPr>
          <w:bCs/>
          <w:lang w:val="en-US"/>
        </w:rPr>
        <w:lastRenderedPageBreak/>
        <w:t xml:space="preserve">Figure 7: </w:t>
      </w:r>
      <w:r>
        <w:rPr>
          <w:bCs/>
          <w:lang w:val="en-US"/>
        </w:rPr>
        <w:t>C</w:t>
      </w:r>
      <w:r w:rsidRPr="008D4DFC">
        <w:rPr>
          <w:bCs/>
          <w:lang w:val="en-US"/>
        </w:rPr>
        <w:t>ost reductions by adding more sectors (coalition C3)</w:t>
      </w:r>
    </w:p>
    <w:p w:rsidR="00D9026F" w:rsidRPr="008D4DFC" w:rsidRDefault="0083505D" w:rsidP="00837AF3">
      <w:pPr>
        <w:jc w:val="both"/>
        <w:rPr>
          <w:lang w:val="en-US"/>
        </w:rPr>
      </w:pPr>
      <w:r>
        <w:rPr>
          <w:noProof/>
          <w:lang w:val="en-GB" w:eastAsia="en-GB"/>
        </w:rPr>
        <w:drawing>
          <wp:inline distT="0" distB="0" distL="0" distR="0">
            <wp:extent cx="5356860" cy="3338195"/>
            <wp:effectExtent l="0" t="0" r="0" b="0"/>
            <wp:docPr id="6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56860" cy="3338195"/>
                    </a:xfrm>
                    <a:prstGeom prst="rect">
                      <a:avLst/>
                    </a:prstGeom>
                    <a:noFill/>
                    <a:ln>
                      <a:noFill/>
                    </a:ln>
                  </pic:spPr>
                </pic:pic>
              </a:graphicData>
            </a:graphic>
          </wp:inline>
        </w:drawing>
      </w:r>
      <w:r w:rsidR="00D9026F" w:rsidRPr="008D4DFC">
        <w:rPr>
          <w:lang w:val="en-US"/>
        </w:rPr>
        <w:t xml:space="preserve"> </w:t>
      </w:r>
    </w:p>
    <w:p w:rsidR="00D9026F" w:rsidRPr="008D4DFC" w:rsidRDefault="00D9026F" w:rsidP="00323AE7">
      <w:pPr>
        <w:spacing w:before="240" w:after="120"/>
        <w:jc w:val="both"/>
        <w:rPr>
          <w:lang w:val="en-US"/>
        </w:rPr>
      </w:pPr>
      <w:r w:rsidRPr="008D4DFC">
        <w:rPr>
          <w:bCs/>
          <w:lang w:val="en-US"/>
        </w:rPr>
        <w:t xml:space="preserve">Figure 8: </w:t>
      </w:r>
      <w:r>
        <w:rPr>
          <w:bCs/>
          <w:lang w:val="en-US"/>
        </w:rPr>
        <w:t>C</w:t>
      </w:r>
      <w:r w:rsidRPr="008D4DFC">
        <w:rPr>
          <w:bCs/>
          <w:lang w:val="en-US"/>
        </w:rPr>
        <w:t>ost reductions by adding more sectors (coalition C4)</w:t>
      </w:r>
    </w:p>
    <w:p w:rsidR="00D9026F" w:rsidRDefault="0083505D" w:rsidP="002D6FB2">
      <w:pPr>
        <w:jc w:val="both"/>
      </w:pPr>
      <w:r>
        <w:rPr>
          <w:noProof/>
          <w:lang w:val="en-GB" w:eastAsia="en-GB"/>
        </w:rPr>
        <w:drawing>
          <wp:inline distT="0" distB="0" distL="0" distR="0">
            <wp:extent cx="5581015" cy="3433445"/>
            <wp:effectExtent l="0" t="0" r="0" b="0"/>
            <wp:docPr id="67" name="Object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9026F" w:rsidRPr="008D4DFC" w:rsidRDefault="00D9026F" w:rsidP="00323AE7">
      <w:pPr>
        <w:jc w:val="both"/>
        <w:rPr>
          <w:lang w:val="en-US"/>
        </w:rPr>
      </w:pPr>
      <w:r w:rsidRPr="008D4DFC">
        <w:rPr>
          <w:lang w:val="en-US"/>
        </w:rPr>
        <w:t xml:space="preserve">Further, China’s strategic power declines substantially when expanding from </w:t>
      </w:r>
      <w:r w:rsidRPr="008D4DFC">
        <w:rPr>
          <w:i/>
          <w:lang w:val="en-US"/>
        </w:rPr>
        <w:t xml:space="preserve">ELE </w:t>
      </w:r>
      <w:r w:rsidRPr="008D4DFC">
        <w:rPr>
          <w:lang w:val="en-US"/>
        </w:rPr>
        <w:t xml:space="preserve">to </w:t>
      </w:r>
      <w:r w:rsidRPr="008D4DFC">
        <w:rPr>
          <w:i/>
          <w:lang w:val="en-US"/>
        </w:rPr>
        <w:t>EIS</w:t>
      </w:r>
      <w:r w:rsidRPr="008D4DFC">
        <w:rPr>
          <w:lang w:val="en-US"/>
        </w:rPr>
        <w:t xml:space="preserve">. The reasoning behind is that the energy-intensive sector in China has both large emissions and low abatement costs </w:t>
      </w:r>
      <w:r>
        <w:rPr>
          <w:lang w:val="en-US"/>
        </w:rPr>
        <w:t xml:space="preserve">(see Figure B2 in Appendix B), </w:t>
      </w:r>
      <w:r w:rsidRPr="008D4DFC">
        <w:rPr>
          <w:lang w:val="en-US"/>
        </w:rPr>
        <w:t xml:space="preserve">which warrants significant strategic power for the case that the energy-intensive sectors remain part of the non-trading segment (cf. </w:t>
      </w:r>
      <w:r w:rsidRPr="008D4DFC">
        <w:rPr>
          <w:lang w:val="en-US"/>
        </w:rPr>
        <w:lastRenderedPageBreak/>
        <w:t xml:space="preserve">section 2). As an indicator of this, Chinese exports of permits under </w:t>
      </w:r>
      <w:r w:rsidRPr="008D4DFC">
        <w:rPr>
          <w:i/>
          <w:lang w:val="en-US"/>
        </w:rPr>
        <w:t xml:space="preserve">ELE </w:t>
      </w:r>
      <w:r w:rsidRPr="008D4DFC">
        <w:rPr>
          <w:lang w:val="en-US"/>
        </w:rPr>
        <w:t xml:space="preserve">account for 69% of permit sales (versus 75-77% with more sectors included). We notice from Figure 8 that India, Russia and South Africa – all three being permit exporters – gain relatively more than China as they can free ride on China’s export restraint which leads to relatively high permit price under </w:t>
      </w:r>
      <w:r w:rsidRPr="008D4DFC">
        <w:rPr>
          <w:i/>
          <w:lang w:val="en-US"/>
        </w:rPr>
        <w:t xml:space="preserve">ELE </w:t>
      </w:r>
      <w:r w:rsidRPr="008D4DFC">
        <w:rPr>
          <w:lang w:val="en-US"/>
        </w:rPr>
        <w:t>(see Figure 12 below). In absolute terms, however, China gains more than Russia and South Africa and almost as much as India.</w:t>
      </w:r>
    </w:p>
    <w:p w:rsidR="00D9026F" w:rsidRDefault="00D9026F" w:rsidP="002D6FB2">
      <w:pPr>
        <w:jc w:val="both"/>
        <w:rPr>
          <w:lang w:val="en-US"/>
        </w:rPr>
      </w:pPr>
    </w:p>
    <w:p w:rsidR="00D9026F" w:rsidRPr="008D4DFC" w:rsidRDefault="00D9026F" w:rsidP="002D6FB2">
      <w:pPr>
        <w:jc w:val="both"/>
        <w:rPr>
          <w:lang w:val="en-US"/>
        </w:rPr>
      </w:pPr>
      <w:r w:rsidRPr="008D4DFC">
        <w:rPr>
          <w:lang w:val="en-US"/>
        </w:rPr>
        <w:t xml:space="preserve">Figures 9 through 12 show how the ETS-price for the trading segment and the Non-ETS price (i.e., the marginal abatement costs) for the non-trading segment develop in the different coalitions when the sectoral coverage expands. First of all, we see that the ETS price increases when going from coalition C1 to C2, and then falls as we further expand towards coalitions C3 and C4. This is consistent with the changes in U.S. costs shown in Figure 4 – the USA is an exporter of quotas and therefore prefers higher quota prices. Furthermore, we notice that there are substantial differences in Non-ETS prices across countries within a coalition, revealing significant strategic behavior in all coalitions. For instance, in coalition C2 the Non-ETS price is more than two times higher in Japan and the EU than in the USA (under </w:t>
      </w:r>
      <w:r w:rsidRPr="008D4DFC">
        <w:rPr>
          <w:i/>
          <w:lang w:val="en-US"/>
        </w:rPr>
        <w:t>ELE</w:t>
      </w:r>
      <w:r w:rsidRPr="008D4DFC">
        <w:rPr>
          <w:lang w:val="en-US"/>
        </w:rPr>
        <w:t xml:space="preserve">). As expected, the Non-ETS prices converge towards each other and towards the ETS price as sectoral coverage expands. </w:t>
      </w:r>
    </w:p>
    <w:p w:rsidR="00D9026F" w:rsidRPr="008D4DFC" w:rsidRDefault="00D9026F" w:rsidP="002D6FB2">
      <w:pPr>
        <w:jc w:val="both"/>
        <w:rPr>
          <w:lang w:val="en-US"/>
        </w:rPr>
      </w:pPr>
    </w:p>
    <w:p w:rsidR="00D9026F" w:rsidRDefault="00D9026F" w:rsidP="00EA1277">
      <w:pPr>
        <w:jc w:val="both"/>
        <w:rPr>
          <w:lang w:val="en-US"/>
        </w:rPr>
      </w:pPr>
      <w:r w:rsidRPr="008D4DFC">
        <w:rPr>
          <w:lang w:val="en-US"/>
        </w:rPr>
        <w:t xml:space="preserve">In Figure 12 we see that the Non-ETS price in Brazil is particularly high under </w:t>
      </w:r>
      <w:r w:rsidRPr="008D4DFC">
        <w:rPr>
          <w:i/>
          <w:lang w:val="en-US"/>
        </w:rPr>
        <w:t>ELE</w:t>
      </w:r>
      <w:r w:rsidRPr="008D4DFC">
        <w:rPr>
          <w:lang w:val="en-US"/>
        </w:rPr>
        <w:t xml:space="preserve"> and then almost halved when expanding to </w:t>
      </w:r>
      <w:r w:rsidRPr="008D4DFC">
        <w:rPr>
          <w:i/>
          <w:lang w:val="en-US"/>
        </w:rPr>
        <w:t>EIS</w:t>
      </w:r>
      <w:r w:rsidRPr="008D4DFC">
        <w:rPr>
          <w:lang w:val="en-US"/>
        </w:rPr>
        <w:t xml:space="preserve">. The explanation for this is that Brazil has adopted quite ambitious emission reduction pledges </w:t>
      </w:r>
      <w:r w:rsidRPr="008D4DFC">
        <w:rPr>
          <w:i/>
          <w:lang w:val="en-US"/>
        </w:rPr>
        <w:t>and</w:t>
      </w:r>
      <w:r w:rsidRPr="008D4DFC">
        <w:rPr>
          <w:lang w:val="en-US"/>
        </w:rPr>
        <w:t xml:space="preserve"> that its electricity sector has rather low emissions (compared to other countries). Hence, Brazil would prefer to allocate a negative number of permits to its ETS sector in order to reduce the marginal abatement costs in the non-trading segment. As we do not allow for negative allocation in our simulations, the Non-ETS price for Brazil becomes particularly high under </w:t>
      </w:r>
      <w:r w:rsidRPr="008D4DFC">
        <w:rPr>
          <w:i/>
          <w:lang w:val="en-US"/>
        </w:rPr>
        <w:t>ELE</w:t>
      </w:r>
      <w:r w:rsidRPr="008D4DFC">
        <w:rPr>
          <w:lang w:val="en-US"/>
        </w:rPr>
        <w:t>.</w:t>
      </w:r>
    </w:p>
    <w:p w:rsidR="00D9026F" w:rsidRDefault="00D9026F" w:rsidP="00EA1277">
      <w:pPr>
        <w:jc w:val="both"/>
        <w:rPr>
          <w:lang w:val="en-US"/>
        </w:rPr>
      </w:pPr>
    </w:p>
    <w:p w:rsidR="00D9026F" w:rsidRPr="008D4DFC" w:rsidRDefault="00D9026F" w:rsidP="00EA1277">
      <w:pPr>
        <w:jc w:val="both"/>
        <w:rPr>
          <w:lang w:val="en-US"/>
        </w:rPr>
      </w:pPr>
      <w:r w:rsidRPr="008D4DFC">
        <w:rPr>
          <w:lang w:val="en-US"/>
        </w:rPr>
        <w:t xml:space="preserve">Finally, we observe that in all four coalitions with incomplete regional coverage (C1-C4) the ETS price </w:t>
      </w:r>
      <w:r>
        <w:rPr>
          <w:lang w:val="en-US"/>
        </w:rPr>
        <w:t>is higher the fewer sectors are covered by the ETS</w:t>
      </w:r>
      <w:r w:rsidRPr="008D4DFC">
        <w:rPr>
          <w:lang w:val="en-US"/>
        </w:rPr>
        <w:t xml:space="preserve">. The exporters are thus more able to play strategically </w:t>
      </w:r>
      <w:r>
        <w:rPr>
          <w:lang w:val="en-US"/>
        </w:rPr>
        <w:t xml:space="preserve">under partial sectoral coverage </w:t>
      </w:r>
      <w:r w:rsidRPr="008D4DFC">
        <w:rPr>
          <w:lang w:val="en-US"/>
        </w:rPr>
        <w:t xml:space="preserve">in order to raise the quota price compared to the cost-effective solution (i.e., under </w:t>
      </w:r>
      <w:r w:rsidRPr="008D4DFC">
        <w:rPr>
          <w:i/>
          <w:lang w:val="en-US"/>
        </w:rPr>
        <w:t>C</w:t>
      </w:r>
      <w:r w:rsidRPr="008D4DFC">
        <w:rPr>
          <w:lang w:val="en-US"/>
        </w:rPr>
        <w:t xml:space="preserve"> when all sectors are included). This result echoes </w:t>
      </w:r>
      <w:r>
        <w:rPr>
          <w:lang w:val="en-US"/>
        </w:rPr>
        <w:t>Proposition 1 in</w:t>
      </w:r>
      <w:r w:rsidRPr="008D4DFC">
        <w:rPr>
          <w:lang w:val="en-US"/>
        </w:rPr>
        <w:t xml:space="preserve"> Section 2, stating that exporters in general will tend to have stronger strategic power than importers. In addition, exporters tend to be bigger emitters than importers in our simulations (e.g., USA in C2, USA and RUS in C3 and CHN in C4).</w:t>
      </w:r>
    </w:p>
    <w:p w:rsidR="00D9026F" w:rsidRPr="00014F22" w:rsidRDefault="00D9026F" w:rsidP="00014F22">
      <w:pPr>
        <w:spacing w:before="240" w:after="120"/>
        <w:jc w:val="both"/>
        <w:rPr>
          <w:bCs/>
          <w:lang w:val="en-US"/>
        </w:rPr>
      </w:pPr>
      <w:r w:rsidRPr="008D4DFC">
        <w:rPr>
          <w:bCs/>
          <w:lang w:val="en-US"/>
        </w:rPr>
        <w:lastRenderedPageBreak/>
        <w:t xml:space="preserve">Figure 9: Non-ETS prices and ETS price </w:t>
      </w:r>
      <w:r>
        <w:rPr>
          <w:bCs/>
          <w:lang w:val="en-US"/>
        </w:rPr>
        <w:t xml:space="preserve">in USD per ton of </w:t>
      </w:r>
      <w:r w:rsidRPr="00B02861">
        <w:rPr>
          <w:lang w:val="en-GB"/>
        </w:rPr>
        <w:t>CO</w:t>
      </w:r>
      <w:r w:rsidRPr="00475702">
        <w:rPr>
          <w:vertAlign w:val="subscript"/>
          <w:lang w:val="en-GB"/>
        </w:rPr>
        <w:t>2</w:t>
      </w:r>
      <w:r>
        <w:rPr>
          <w:bCs/>
          <w:lang w:val="en-US"/>
        </w:rPr>
        <w:t xml:space="preserve"> </w:t>
      </w:r>
      <w:r w:rsidRPr="008D4DFC">
        <w:rPr>
          <w:bCs/>
          <w:lang w:val="en-US"/>
        </w:rPr>
        <w:t>(coalition C1)</w:t>
      </w:r>
      <w:r>
        <w:rPr>
          <w:bCs/>
          <w:lang w:val="en-US"/>
        </w:rPr>
        <w:t xml:space="preserve"> </w:t>
      </w:r>
    </w:p>
    <w:p w:rsidR="00D9026F" w:rsidRPr="008D4DFC" w:rsidRDefault="0083505D" w:rsidP="00BD03CC">
      <w:pPr>
        <w:jc w:val="both"/>
        <w:rPr>
          <w:b/>
          <w:sz w:val="22"/>
          <w:szCs w:val="20"/>
          <w:lang w:val="en-US"/>
        </w:rPr>
      </w:pPr>
      <w:r>
        <w:rPr>
          <w:noProof/>
          <w:lang w:val="en-GB" w:eastAsia="en-GB"/>
        </w:rPr>
        <w:drawing>
          <wp:inline distT="0" distB="0" distL="0" distR="0">
            <wp:extent cx="5641975" cy="3502025"/>
            <wp:effectExtent l="0" t="0" r="0" b="0"/>
            <wp:docPr id="6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41975" cy="3502025"/>
                    </a:xfrm>
                    <a:prstGeom prst="rect">
                      <a:avLst/>
                    </a:prstGeom>
                    <a:noFill/>
                    <a:ln>
                      <a:noFill/>
                    </a:ln>
                  </pic:spPr>
                </pic:pic>
              </a:graphicData>
            </a:graphic>
          </wp:inline>
        </w:drawing>
      </w:r>
      <w:r w:rsidR="00D9026F" w:rsidRPr="008D4DFC">
        <w:rPr>
          <w:szCs w:val="20"/>
          <w:lang w:val="en-US"/>
        </w:rPr>
        <w:t xml:space="preserve"> </w:t>
      </w:r>
    </w:p>
    <w:p w:rsidR="00D9026F" w:rsidRPr="008D4DFC" w:rsidRDefault="00D9026F" w:rsidP="00014F22">
      <w:pPr>
        <w:spacing w:before="240" w:after="120"/>
        <w:jc w:val="both"/>
        <w:rPr>
          <w:bCs/>
          <w:lang w:val="en-US"/>
        </w:rPr>
      </w:pPr>
      <w:r w:rsidRPr="008D4DFC">
        <w:rPr>
          <w:bCs/>
          <w:lang w:val="en-US"/>
        </w:rPr>
        <w:t>Figure 10: Non-ETS prices and ETS price</w:t>
      </w:r>
      <w:r>
        <w:rPr>
          <w:bCs/>
          <w:lang w:val="en-US"/>
        </w:rPr>
        <w:t xml:space="preserve"> in USD per ton of </w:t>
      </w:r>
      <w:r w:rsidRPr="00B02861">
        <w:rPr>
          <w:lang w:val="en-GB"/>
        </w:rPr>
        <w:t>CO</w:t>
      </w:r>
      <w:r w:rsidRPr="00475702">
        <w:rPr>
          <w:vertAlign w:val="subscript"/>
          <w:lang w:val="en-GB"/>
        </w:rPr>
        <w:t>2</w:t>
      </w:r>
      <w:r w:rsidRPr="008D4DFC">
        <w:rPr>
          <w:bCs/>
          <w:lang w:val="en-US"/>
        </w:rPr>
        <w:t xml:space="preserve"> (coalition C2)</w:t>
      </w:r>
      <w:r w:rsidRPr="00633D50">
        <w:rPr>
          <w:bCs/>
          <w:lang w:val="en-US"/>
        </w:rPr>
        <w:t xml:space="preserve"> </w:t>
      </w:r>
    </w:p>
    <w:p w:rsidR="00D9026F" w:rsidRPr="008D4DFC" w:rsidRDefault="0083505D" w:rsidP="004B53A3">
      <w:pPr>
        <w:spacing w:before="120" w:after="120"/>
        <w:jc w:val="both"/>
        <w:rPr>
          <w:bCs/>
          <w:lang w:val="en-US"/>
        </w:rPr>
      </w:pPr>
      <w:r>
        <w:rPr>
          <w:noProof/>
          <w:lang w:val="en-GB" w:eastAsia="en-GB"/>
        </w:rPr>
        <w:drawing>
          <wp:inline distT="0" distB="0" distL="0" distR="0">
            <wp:extent cx="5641975" cy="3502025"/>
            <wp:effectExtent l="0" t="0" r="0" b="0"/>
            <wp:docPr id="6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41975" cy="3502025"/>
                    </a:xfrm>
                    <a:prstGeom prst="rect">
                      <a:avLst/>
                    </a:prstGeom>
                    <a:noFill/>
                    <a:ln>
                      <a:noFill/>
                    </a:ln>
                  </pic:spPr>
                </pic:pic>
              </a:graphicData>
            </a:graphic>
          </wp:inline>
        </w:drawing>
      </w:r>
    </w:p>
    <w:p w:rsidR="00D9026F" w:rsidRPr="008D4DFC" w:rsidDel="004D2977" w:rsidRDefault="00D9026F" w:rsidP="00014F22">
      <w:pPr>
        <w:spacing w:before="240" w:after="120"/>
        <w:jc w:val="both"/>
        <w:rPr>
          <w:bCs/>
          <w:lang w:val="en-US"/>
        </w:rPr>
      </w:pPr>
      <w:r w:rsidRPr="008D4DFC">
        <w:rPr>
          <w:bCs/>
          <w:lang w:val="en-US"/>
        </w:rPr>
        <w:t>Figure 11: Non-ETS prices and ETS price</w:t>
      </w:r>
      <w:r>
        <w:rPr>
          <w:bCs/>
          <w:lang w:val="en-US"/>
        </w:rPr>
        <w:t xml:space="preserve"> in USD per ton of </w:t>
      </w:r>
      <w:r w:rsidRPr="00B02861">
        <w:rPr>
          <w:lang w:val="en-GB"/>
        </w:rPr>
        <w:t>CO</w:t>
      </w:r>
      <w:r w:rsidRPr="00475702">
        <w:rPr>
          <w:vertAlign w:val="subscript"/>
          <w:lang w:val="en-GB"/>
        </w:rPr>
        <w:t>2</w:t>
      </w:r>
      <w:r w:rsidRPr="008D4DFC">
        <w:rPr>
          <w:bCs/>
          <w:lang w:val="en-US"/>
        </w:rPr>
        <w:t xml:space="preserve"> (coalition C3)</w:t>
      </w:r>
      <w:r>
        <w:rPr>
          <w:bCs/>
          <w:lang w:val="en-US"/>
        </w:rPr>
        <w:t>.</w:t>
      </w:r>
      <w:r w:rsidRPr="00633D50">
        <w:rPr>
          <w:bCs/>
          <w:lang w:val="en-US"/>
        </w:rPr>
        <w:t xml:space="preserve"> </w:t>
      </w:r>
    </w:p>
    <w:p w:rsidR="00D9026F" w:rsidRPr="008D4DFC" w:rsidRDefault="0083505D" w:rsidP="004B53A3">
      <w:pPr>
        <w:spacing w:before="120" w:after="120"/>
        <w:jc w:val="both"/>
        <w:rPr>
          <w:lang w:val="en-US"/>
        </w:rPr>
      </w:pPr>
      <w:r>
        <w:rPr>
          <w:noProof/>
          <w:lang w:val="en-GB" w:eastAsia="en-GB"/>
        </w:rPr>
        <w:lastRenderedPageBreak/>
        <w:drawing>
          <wp:inline distT="0" distB="0" distL="0" distR="0">
            <wp:extent cx="5641975" cy="3502025"/>
            <wp:effectExtent l="0" t="0" r="0" b="0"/>
            <wp:docPr id="7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1975" cy="3502025"/>
                    </a:xfrm>
                    <a:prstGeom prst="rect">
                      <a:avLst/>
                    </a:prstGeom>
                    <a:noFill/>
                    <a:ln>
                      <a:noFill/>
                    </a:ln>
                  </pic:spPr>
                </pic:pic>
              </a:graphicData>
            </a:graphic>
          </wp:inline>
        </w:drawing>
      </w:r>
      <w:r w:rsidR="00D9026F" w:rsidRPr="008D4DFC">
        <w:rPr>
          <w:lang w:val="en-US"/>
        </w:rPr>
        <w:t xml:space="preserve"> </w:t>
      </w:r>
    </w:p>
    <w:p w:rsidR="00D9026F" w:rsidRPr="00014F22" w:rsidRDefault="00D9026F" w:rsidP="00014F22">
      <w:pPr>
        <w:spacing w:before="240" w:after="120"/>
        <w:jc w:val="both"/>
        <w:rPr>
          <w:bCs/>
          <w:lang w:val="en-US"/>
        </w:rPr>
      </w:pPr>
      <w:r w:rsidRPr="008D4DFC">
        <w:rPr>
          <w:bCs/>
          <w:lang w:val="en-US"/>
        </w:rPr>
        <w:t>Figure 12: Non-ETS prices and ETS price</w:t>
      </w:r>
      <w:r>
        <w:rPr>
          <w:bCs/>
          <w:lang w:val="en-US"/>
        </w:rPr>
        <w:t xml:space="preserve"> in</w:t>
      </w:r>
      <w:r w:rsidRPr="00633D50">
        <w:rPr>
          <w:bCs/>
          <w:lang w:val="en-US"/>
        </w:rPr>
        <w:t xml:space="preserve"> </w:t>
      </w:r>
      <w:r>
        <w:rPr>
          <w:bCs/>
          <w:lang w:val="en-US"/>
        </w:rPr>
        <w:t xml:space="preserve">USD per ton </w:t>
      </w:r>
      <w:r w:rsidRPr="00B02861">
        <w:rPr>
          <w:lang w:val="en-GB"/>
        </w:rPr>
        <w:t>CO</w:t>
      </w:r>
      <w:r w:rsidRPr="00475702">
        <w:rPr>
          <w:vertAlign w:val="subscript"/>
          <w:lang w:val="en-GB"/>
        </w:rPr>
        <w:t>2</w:t>
      </w:r>
      <w:r w:rsidRPr="008D4DFC">
        <w:rPr>
          <w:bCs/>
          <w:lang w:val="en-US"/>
        </w:rPr>
        <w:t xml:space="preserve"> </w:t>
      </w:r>
      <w:r>
        <w:rPr>
          <w:bCs/>
          <w:lang w:val="en-US"/>
        </w:rPr>
        <w:t>(coalition C4)</w:t>
      </w:r>
    </w:p>
    <w:p w:rsidR="00D9026F" w:rsidRPr="008D4DFC" w:rsidRDefault="0083505D" w:rsidP="00BD03CC">
      <w:pPr>
        <w:jc w:val="both"/>
        <w:rPr>
          <w:lang w:val="en-US"/>
        </w:rPr>
      </w:pPr>
      <w:r>
        <w:rPr>
          <w:noProof/>
          <w:lang w:val="en-GB" w:eastAsia="en-GB"/>
        </w:rPr>
        <w:drawing>
          <wp:inline distT="0" distB="0" distL="0" distR="0">
            <wp:extent cx="5641975" cy="3502025"/>
            <wp:effectExtent l="0" t="0" r="0" b="0"/>
            <wp:docPr id="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41975" cy="3502025"/>
                    </a:xfrm>
                    <a:prstGeom prst="rect">
                      <a:avLst/>
                    </a:prstGeom>
                    <a:noFill/>
                    <a:ln>
                      <a:noFill/>
                    </a:ln>
                  </pic:spPr>
                </pic:pic>
              </a:graphicData>
            </a:graphic>
          </wp:inline>
        </w:drawing>
      </w:r>
    </w:p>
    <w:p w:rsidR="00D9026F" w:rsidRPr="008D4DFC" w:rsidRDefault="00D9026F" w:rsidP="00BD03CC">
      <w:pPr>
        <w:jc w:val="both"/>
        <w:rPr>
          <w:lang w:val="en-US"/>
        </w:rPr>
      </w:pPr>
    </w:p>
    <w:p w:rsidR="00D9026F" w:rsidRDefault="00D9026F" w:rsidP="004179E6">
      <w:pPr>
        <w:jc w:val="both"/>
        <w:rPr>
          <w:bCs/>
          <w:lang w:val="en-US"/>
        </w:rPr>
      </w:pPr>
      <w:r w:rsidRPr="008D4DFC">
        <w:rPr>
          <w:lang w:val="en-US"/>
        </w:rPr>
        <w:t xml:space="preserve">Figure 13 shows how trade in allowances evolves under coalition C2 when sectoral coverage expands. We notice that gross trade increases, or in other words: With only some sectors included, exporters have incentives to export fewer allowances in order to raise the price, </w:t>
      </w:r>
      <w:r w:rsidRPr="008D4DFC">
        <w:rPr>
          <w:lang w:val="en-US"/>
        </w:rPr>
        <w:lastRenderedPageBreak/>
        <w:t>whereas importers have incentives to import fewer allowances. This is especially true for big players, and we see that the USA changes trade volumes most, consistent with the change in ETS price discussed above.</w:t>
      </w:r>
    </w:p>
    <w:p w:rsidR="00D9026F" w:rsidRPr="008D4DFC" w:rsidRDefault="00D9026F" w:rsidP="00014F22">
      <w:pPr>
        <w:spacing w:before="240" w:after="120"/>
        <w:jc w:val="both"/>
        <w:rPr>
          <w:bCs/>
          <w:lang w:val="en-US"/>
        </w:rPr>
      </w:pPr>
      <w:r w:rsidRPr="008D4DFC">
        <w:rPr>
          <w:bCs/>
          <w:lang w:val="en-US"/>
        </w:rPr>
        <w:t xml:space="preserve">Figure 13: Trade in allowances </w:t>
      </w:r>
      <w:r>
        <w:rPr>
          <w:bCs/>
          <w:lang w:val="en-US"/>
        </w:rPr>
        <w:t xml:space="preserve">in million tons of </w:t>
      </w:r>
      <w:r w:rsidRPr="00B02861">
        <w:rPr>
          <w:lang w:val="en-GB"/>
        </w:rPr>
        <w:t>CO</w:t>
      </w:r>
      <w:r w:rsidRPr="00475702">
        <w:rPr>
          <w:vertAlign w:val="subscript"/>
          <w:lang w:val="en-GB"/>
        </w:rPr>
        <w:t>2</w:t>
      </w:r>
      <w:r>
        <w:rPr>
          <w:bCs/>
          <w:lang w:val="en-US"/>
        </w:rPr>
        <w:t xml:space="preserve"> (coalition C2) </w:t>
      </w:r>
    </w:p>
    <w:p w:rsidR="00D9026F" w:rsidRPr="008D4DFC" w:rsidRDefault="0083505D" w:rsidP="002D6FB2">
      <w:pPr>
        <w:spacing w:before="120" w:after="120"/>
        <w:jc w:val="both"/>
        <w:rPr>
          <w:bCs/>
          <w:lang w:val="en-US"/>
        </w:rPr>
      </w:pPr>
      <w:r>
        <w:rPr>
          <w:noProof/>
          <w:lang w:val="en-GB" w:eastAsia="en-GB"/>
        </w:rPr>
        <w:drawing>
          <wp:inline distT="0" distB="0" distL="0" distR="0">
            <wp:extent cx="5641975" cy="3502025"/>
            <wp:effectExtent l="0" t="0" r="0" b="0"/>
            <wp:docPr id="7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41975" cy="3502025"/>
                    </a:xfrm>
                    <a:prstGeom prst="rect">
                      <a:avLst/>
                    </a:prstGeom>
                    <a:noFill/>
                    <a:ln>
                      <a:noFill/>
                    </a:ln>
                  </pic:spPr>
                </pic:pic>
              </a:graphicData>
            </a:graphic>
          </wp:inline>
        </w:drawing>
      </w:r>
    </w:p>
    <w:p w:rsidR="00D9026F" w:rsidRPr="008D4DFC" w:rsidRDefault="00D9026F" w:rsidP="00AE4D54">
      <w:pPr>
        <w:pStyle w:val="Heading1"/>
        <w:jc w:val="both"/>
        <w:rPr>
          <w:lang w:val="en-US"/>
        </w:rPr>
      </w:pPr>
      <w:r w:rsidRPr="008D4DFC">
        <w:rPr>
          <w:lang w:val="en-US"/>
        </w:rPr>
        <w:t>5. Conclusion</w:t>
      </w:r>
      <w:r>
        <w:rPr>
          <w:lang w:val="en-US"/>
        </w:rPr>
        <w:t>s</w:t>
      </w:r>
    </w:p>
    <w:p w:rsidR="00D9026F" w:rsidRPr="008D4DFC" w:rsidRDefault="00D9026F" w:rsidP="00647D07">
      <w:pPr>
        <w:jc w:val="both"/>
        <w:rPr>
          <w:lang w:val="en-US"/>
        </w:rPr>
      </w:pPr>
      <w:r w:rsidRPr="008D4DFC">
        <w:rPr>
          <w:lang w:val="en-US"/>
        </w:rPr>
        <w:t>Where-flexibility of emission abatement through international emissions trading is perceived as a crucial element of climate policy to reduce overall costs (and thereby increase political feasibility) of effective climate protection. In this vein, already the Kyoto Protocol dating back to 1997 calls for the use of flexible instruments.</w:t>
      </w:r>
      <w:r w:rsidRPr="009065FD">
        <w:rPr>
          <w:vertAlign w:val="superscript"/>
          <w:lang w:val="en-US"/>
        </w:rPr>
        <w:footnoteReference w:id="17"/>
      </w:r>
      <w:r w:rsidRPr="008D4DFC">
        <w:rPr>
          <w:lang w:val="en-US"/>
        </w:rPr>
        <w:t xml:space="preserve"> So far, however, cap-and-trade systems are regionally separated with the EU ETS being the only scheme where international emissions trading takes place across multiple jurisdictions. Apart from limited regional coverage, trading schemes are in general also restricted to energy-intensive industries in terms of sectoral coverage. As a prime example the EU ETS covers only </w:t>
      </w:r>
      <w:r>
        <w:rPr>
          <w:lang w:val="en-US"/>
        </w:rPr>
        <w:t>around</w:t>
      </w:r>
      <w:r w:rsidRPr="008D4DFC">
        <w:rPr>
          <w:lang w:val="en-US"/>
        </w:rPr>
        <w:t xml:space="preserve"> 40% of overall EU greenhouse gas emissions.</w:t>
      </w:r>
    </w:p>
    <w:p w:rsidR="00D9026F" w:rsidRPr="008D4DFC" w:rsidRDefault="00D9026F" w:rsidP="00647D07">
      <w:pPr>
        <w:jc w:val="both"/>
        <w:rPr>
          <w:lang w:val="en-US"/>
        </w:rPr>
      </w:pPr>
    </w:p>
    <w:p w:rsidR="00D9026F" w:rsidRPr="008D4DFC" w:rsidRDefault="00D9026F" w:rsidP="00BD03CC">
      <w:pPr>
        <w:jc w:val="both"/>
        <w:rPr>
          <w:lang w:val="en-US"/>
        </w:rPr>
      </w:pPr>
      <w:r w:rsidRPr="008D4DFC">
        <w:rPr>
          <w:lang w:val="en-US"/>
        </w:rPr>
        <w:lastRenderedPageBreak/>
        <w:t>Given the limitations in regional and sectoral coverage of actual trading schemes there is broad consensus among climate policy makers to push for increased coverage in order to exploit the cost savings potentials of comprehensive where-flexibility. Yet, the feasibility of overall cost savings might be seriously hampered through opposed incentives from the perspective of individual countries.</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In this paper we have investigated the economic implications of regional and sectoral expansion of international emissions trading in a policy setting where individual countries are bound to emission reduction pledges under the Copenhagen Accords but incomplete sectoral coverage provides scope for strategic behavior to manipulate the international emission price.</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With our integrated theoretical and applied analysis we shed some light on the economic incentives at stake when climate policy makers contemplate the regional linkage and sectoral expansion of emission trading regimes.</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As to regional expansion our results illustrate that the interests of quota exporters and importers are usually opposed when including more countries into the trading scheme</w:t>
      </w:r>
      <w:r>
        <w:rPr>
          <w:lang w:val="en-US"/>
        </w:rPr>
        <w:t>.</w:t>
      </w:r>
      <w:r w:rsidRPr="008D4DFC">
        <w:rPr>
          <w:lang w:val="en-US"/>
        </w:rPr>
        <w:t xml:space="preserve"> The exporters would like to let in more potential importers, which would raise the quota price, while the importers would like to let in more potential exporters to depress the quota price.</w:t>
      </w:r>
    </w:p>
    <w:p w:rsidR="00D9026F" w:rsidRPr="008D4DFC" w:rsidRDefault="00D9026F" w:rsidP="00BD03CC">
      <w:pPr>
        <w:jc w:val="both"/>
        <w:rPr>
          <w:lang w:val="en-US"/>
        </w:rPr>
      </w:pPr>
      <w:r w:rsidRPr="008D4DFC">
        <w:rPr>
          <w:lang w:val="en-US"/>
        </w:rPr>
        <w:t xml:space="preserve"> </w:t>
      </w:r>
    </w:p>
    <w:p w:rsidR="00D9026F" w:rsidRPr="008D4DFC" w:rsidRDefault="00D9026F" w:rsidP="00BD03CC">
      <w:pPr>
        <w:jc w:val="both"/>
        <w:rPr>
          <w:lang w:val="en-US"/>
        </w:rPr>
      </w:pPr>
      <w:r w:rsidRPr="008D4DFC">
        <w:rPr>
          <w:lang w:val="en-US"/>
        </w:rPr>
        <w:t>When expanding sectoral coverage for a given trading coalition of countries, the highest cost reductions generally come from the first step: going from “No trade” to a trading scheme that includes one sector with a sufficiently large emission share (</w:t>
      </w:r>
      <w:r>
        <w:rPr>
          <w:lang w:val="en-US"/>
        </w:rPr>
        <w:t>in our case</w:t>
      </w:r>
      <w:r w:rsidRPr="008D4DFC">
        <w:rPr>
          <w:lang w:val="en-US"/>
        </w:rPr>
        <w:t>: the electricity sector). When sectoral coverage is expanded, a country usually gains, however we identify several cases in our numerical simulations where countries lose. This happens because sectoral expansion makes the marginal abatement costs in the remaining non-trading segment of these countries less elastic, so that they are less able to manipulate the quota price in their preferred direction. The USA and Russia are the countries that most frequently experience a loss from sectoral expansion of the trading scheme.</w:t>
      </w:r>
    </w:p>
    <w:p w:rsidR="00D9026F" w:rsidRPr="008D4DFC" w:rsidRDefault="00D9026F" w:rsidP="00BD03CC">
      <w:pPr>
        <w:jc w:val="both"/>
        <w:rPr>
          <w:lang w:val="en-US"/>
        </w:rPr>
      </w:pPr>
    </w:p>
    <w:p w:rsidR="00D9026F" w:rsidRPr="008D4DFC" w:rsidRDefault="00D9026F" w:rsidP="00BD03CC">
      <w:pPr>
        <w:jc w:val="both"/>
        <w:rPr>
          <w:lang w:val="en-US"/>
        </w:rPr>
      </w:pPr>
      <w:r w:rsidRPr="008D4DFC">
        <w:rPr>
          <w:lang w:val="en-US"/>
        </w:rPr>
        <w:t xml:space="preserve">The economic impacts of sectoral expansion are more substantial when the coalition is small, because an individual country has more market power in a smaller coalition. However, including China into the coalition means that a particularly large player joins the carbon market, implying significant strategic effects if the trading scheme only covers the electricity </w:t>
      </w:r>
      <w:r w:rsidRPr="008D4DFC">
        <w:rPr>
          <w:lang w:val="en-US"/>
        </w:rPr>
        <w:lastRenderedPageBreak/>
        <w:t>sector. Sectoral expansion reduces the quota price in all our simulations, consistent with our theoretical prediction. This implies that – as a group – exporters have more market power than importers, but their influence decreases when more sectors are added to the scheme.</w:t>
      </w:r>
    </w:p>
    <w:p w:rsidR="00D9026F" w:rsidRPr="008D4DFC" w:rsidRDefault="00D9026F" w:rsidP="00BD03CC">
      <w:pPr>
        <w:pStyle w:val="Heading1"/>
        <w:jc w:val="both"/>
        <w:rPr>
          <w:lang w:val="en-US"/>
        </w:rPr>
      </w:pPr>
      <w:r w:rsidRPr="008D4DFC">
        <w:rPr>
          <w:lang w:val="en-US"/>
        </w:rPr>
        <w:t>References</w:t>
      </w:r>
    </w:p>
    <w:p w:rsidR="00D9026F" w:rsidRPr="008D4DFC" w:rsidRDefault="00D9026F" w:rsidP="00BD03CC">
      <w:pPr>
        <w:spacing w:after="120"/>
        <w:ind w:left="284" w:hanging="284"/>
        <w:jc w:val="both"/>
        <w:rPr>
          <w:lang w:val="en-US"/>
        </w:rPr>
      </w:pPr>
      <w:r w:rsidRPr="008D4DFC">
        <w:rPr>
          <w:lang w:val="en-US"/>
        </w:rPr>
        <w:t xml:space="preserve">Babiker, M., J. Reilly and L. Viguier (2004), “Is international emission trading always beneficial?”, </w:t>
      </w:r>
      <w:r w:rsidRPr="008D4DFC">
        <w:rPr>
          <w:i/>
          <w:iCs/>
          <w:lang w:val="en-US"/>
        </w:rPr>
        <w:t>Energy Journal</w:t>
      </w:r>
      <w:r w:rsidRPr="008D4DFC">
        <w:rPr>
          <w:lang w:val="en-US"/>
        </w:rPr>
        <w:t xml:space="preserve"> 25(2): 33-56.</w:t>
      </w:r>
    </w:p>
    <w:p w:rsidR="00D9026F" w:rsidRPr="008D4DFC" w:rsidRDefault="00D9026F" w:rsidP="00BD03CC">
      <w:pPr>
        <w:spacing w:after="120"/>
        <w:ind w:left="284" w:hanging="284"/>
        <w:jc w:val="both"/>
        <w:rPr>
          <w:lang w:val="en-US"/>
        </w:rPr>
      </w:pPr>
      <w:r w:rsidRPr="008D4DFC">
        <w:rPr>
          <w:lang w:val="en-US"/>
        </w:rPr>
        <w:t>Badri, N. G. and T. L. Walmsley (eds.) (2008), “Global Trade, Assistance and Production: The GTAP 7 Data Base”, Center for Global Trade Analysis, Purdue University.</w:t>
      </w:r>
    </w:p>
    <w:p w:rsidR="00D9026F" w:rsidRPr="008D4DFC" w:rsidRDefault="00D9026F" w:rsidP="00BD03CC">
      <w:pPr>
        <w:spacing w:after="120"/>
        <w:ind w:left="284" w:hanging="284"/>
        <w:jc w:val="both"/>
        <w:rPr>
          <w:lang w:val="en-US"/>
        </w:rPr>
      </w:pPr>
      <w:r w:rsidRPr="008D4DFC">
        <w:rPr>
          <w:lang w:val="en-US"/>
        </w:rPr>
        <w:t>Bernard, A., M. Vielle, and L. Viguier (2004), “Modeling the European Directive establishing a scheme for greenhouse gas allowance trading and assessing the market power of firms”, REME working paper, École Polytechnique Fédérale Lausanne.</w:t>
      </w:r>
    </w:p>
    <w:p w:rsidR="00D9026F" w:rsidRPr="008D4DFC" w:rsidRDefault="00D9026F" w:rsidP="00BD03CC">
      <w:pPr>
        <w:spacing w:after="120"/>
        <w:ind w:left="284" w:hanging="284"/>
        <w:jc w:val="both"/>
        <w:rPr>
          <w:lang w:val="en-US"/>
        </w:rPr>
      </w:pPr>
      <w:r w:rsidRPr="008D4DFC">
        <w:rPr>
          <w:lang w:val="en-US"/>
        </w:rPr>
        <w:t xml:space="preserve">Betz, R., T. Sanderson and T. Ancev (2010), “In or out: efficient inclusion of installations in an emissions trading scheme?”, </w:t>
      </w:r>
      <w:r w:rsidRPr="008D4DFC">
        <w:rPr>
          <w:i/>
          <w:iCs/>
          <w:lang w:val="en-US"/>
        </w:rPr>
        <w:t>Journal of Regulatory Economics</w:t>
      </w:r>
      <w:r w:rsidRPr="008D4DFC">
        <w:rPr>
          <w:lang w:val="en-US"/>
        </w:rPr>
        <w:t xml:space="preserve"> 37: 162-179.</w:t>
      </w:r>
    </w:p>
    <w:p w:rsidR="00D9026F" w:rsidRPr="008D4DFC" w:rsidRDefault="00D9026F" w:rsidP="00BD03CC">
      <w:pPr>
        <w:spacing w:after="120"/>
        <w:ind w:left="284" w:hanging="284"/>
        <w:jc w:val="both"/>
        <w:rPr>
          <w:lang w:val="en-US"/>
        </w:rPr>
      </w:pPr>
      <w:r w:rsidRPr="008D4DFC">
        <w:rPr>
          <w:lang w:val="en-US"/>
        </w:rPr>
        <w:t>Bhagwati, J.N., A. Panagariya and T.N. Srinivasan (1998), Lectures on International Trade, Second Edition, MIT Press, Cambridge (Mass.).</w:t>
      </w:r>
    </w:p>
    <w:p w:rsidR="00D9026F" w:rsidRPr="008D4DFC" w:rsidRDefault="00D9026F" w:rsidP="00BD03CC">
      <w:pPr>
        <w:spacing w:after="120"/>
        <w:ind w:left="284" w:hanging="284"/>
        <w:jc w:val="both"/>
        <w:rPr>
          <w:rFonts w:ascii="Times New Roman ;" w:hAnsi="Times New Roman ;"/>
          <w:lang w:val="en-US"/>
        </w:rPr>
      </w:pPr>
      <w:r w:rsidRPr="008D4DFC">
        <w:rPr>
          <w:rFonts w:ascii="Times New Roman ;" w:hAnsi="Times New Roman ;"/>
          <w:lang w:val="en-US"/>
        </w:rPr>
        <w:t xml:space="preserve">Böhringer, C., T. Hoffmann, A. Lange, A. Löschel and U. Moslener (2005), “Assessing Emission Allocation in Europe: An Interactive Simulation Approach”, </w:t>
      </w:r>
      <w:r w:rsidRPr="008D4DFC">
        <w:rPr>
          <w:rFonts w:ascii="Times New Roman ;" w:hAnsi="Times New Roman ;"/>
          <w:i/>
          <w:lang w:val="en-US"/>
        </w:rPr>
        <w:t>Energy Journal</w:t>
      </w:r>
      <w:r w:rsidRPr="008D4DFC">
        <w:rPr>
          <w:rFonts w:ascii="Times New Roman ;" w:hAnsi="Times New Roman ;"/>
          <w:lang w:val="en-US"/>
        </w:rPr>
        <w:t xml:space="preserve"> </w:t>
      </w:r>
      <w:r w:rsidRPr="008D4DFC">
        <w:rPr>
          <w:rFonts w:ascii="Times New Roman ;" w:hAnsi="Times New Roman ;"/>
          <w:bCs/>
          <w:lang w:val="en-US"/>
        </w:rPr>
        <w:t>26(4):</w:t>
      </w:r>
      <w:r w:rsidRPr="008D4DFC">
        <w:rPr>
          <w:rFonts w:ascii="Times New Roman ;" w:hAnsi="Times New Roman ;"/>
          <w:lang w:val="en-US"/>
        </w:rPr>
        <w:t xml:space="preserve"> 1-22.</w:t>
      </w:r>
    </w:p>
    <w:p w:rsidR="00D9026F" w:rsidRPr="008D4DFC" w:rsidRDefault="00D9026F" w:rsidP="00BD03CC">
      <w:pPr>
        <w:spacing w:after="120"/>
        <w:ind w:left="284" w:hanging="284"/>
        <w:jc w:val="both"/>
        <w:rPr>
          <w:lang w:val="en-US"/>
        </w:rPr>
      </w:pPr>
      <w:r w:rsidRPr="008D4DFC">
        <w:rPr>
          <w:lang w:val="en-US"/>
        </w:rPr>
        <w:t xml:space="preserve">Böhringer, C., H. Koschel and U. Moslener (2008), “Efficiency losses from overlapping regulation of EU carbon emissions”, </w:t>
      </w:r>
      <w:r w:rsidRPr="008D4DFC">
        <w:rPr>
          <w:i/>
          <w:iCs/>
          <w:lang w:val="en-US"/>
        </w:rPr>
        <w:t>Journal of Regulatory Economics</w:t>
      </w:r>
      <w:r w:rsidRPr="008D4DFC">
        <w:rPr>
          <w:lang w:val="en-US"/>
        </w:rPr>
        <w:t xml:space="preserve"> 33: 299-317.</w:t>
      </w:r>
    </w:p>
    <w:p w:rsidR="00D9026F" w:rsidRPr="008D4DFC" w:rsidRDefault="00D9026F" w:rsidP="00BD03CC">
      <w:pPr>
        <w:spacing w:after="120"/>
        <w:ind w:left="284" w:hanging="284"/>
        <w:jc w:val="both"/>
        <w:rPr>
          <w:lang w:val="en-US"/>
        </w:rPr>
      </w:pPr>
      <w:r w:rsidRPr="008D4DFC">
        <w:rPr>
          <w:lang w:val="en-US"/>
        </w:rPr>
        <w:t>Böhringer, C. and K.E. Rosendahl (2009), “Strategic Partitioning of Emissions Allowances under the EU Emissions Trading Scheme”,</w:t>
      </w:r>
      <w:r w:rsidRPr="008D4DFC">
        <w:rPr>
          <w:i/>
          <w:lang w:val="en-US"/>
        </w:rPr>
        <w:t xml:space="preserve"> </w:t>
      </w:r>
      <w:r w:rsidRPr="008D4DFC">
        <w:rPr>
          <w:i/>
          <w:iCs/>
          <w:lang w:val="en-US"/>
        </w:rPr>
        <w:t>Resource and Energy Economics</w:t>
      </w:r>
      <w:r w:rsidRPr="008D4DFC">
        <w:rPr>
          <w:lang w:val="en-US"/>
        </w:rPr>
        <w:t xml:space="preserve"> 31: 182–197.</w:t>
      </w:r>
    </w:p>
    <w:p w:rsidR="00D9026F" w:rsidRPr="008D4DFC" w:rsidRDefault="00D9026F" w:rsidP="00BD03CC">
      <w:pPr>
        <w:spacing w:before="120" w:after="120"/>
        <w:ind w:left="374" w:hanging="374"/>
        <w:jc w:val="both"/>
        <w:rPr>
          <w:lang w:val="en-US"/>
        </w:rPr>
      </w:pPr>
      <w:r w:rsidRPr="008D4DFC">
        <w:rPr>
          <w:lang w:val="en-US"/>
        </w:rPr>
        <w:t>Böhringer, C. and T.F. Rutherford (2010), “The Costs of Compliance: A CGE Assessment of Canada’s Policy Options under the Kyoto Protocol”,</w:t>
      </w:r>
      <w:r w:rsidRPr="008D4DFC">
        <w:rPr>
          <w:i/>
          <w:lang w:val="en-US"/>
        </w:rPr>
        <w:t xml:space="preserve"> </w:t>
      </w:r>
      <w:r w:rsidRPr="008D4DFC">
        <w:rPr>
          <w:i/>
          <w:iCs/>
          <w:lang w:val="en-US"/>
        </w:rPr>
        <w:t>The World Economy</w:t>
      </w:r>
      <w:r w:rsidRPr="008D4DFC">
        <w:rPr>
          <w:lang w:val="en-US"/>
        </w:rPr>
        <w:t xml:space="preserve"> 33: 177-211. </w:t>
      </w:r>
    </w:p>
    <w:p w:rsidR="00D9026F" w:rsidRPr="008D4DFC" w:rsidRDefault="00D9026F" w:rsidP="00BD03CC">
      <w:pPr>
        <w:spacing w:after="120"/>
        <w:ind w:left="284" w:hanging="284"/>
        <w:jc w:val="both"/>
        <w:rPr>
          <w:lang w:val="en-US"/>
        </w:rPr>
      </w:pPr>
      <w:r w:rsidRPr="008D4DFC">
        <w:rPr>
          <w:lang w:val="en-US"/>
        </w:rPr>
        <w:t>Capros, P., L. Mantzos, D. Kolokotsas, N. Ioannou, T. Georgakopoulos, A. Filippopoulitis and Y. Antoniou (1998), “The PRIMES energy system model – reference manual”, National Technical University of Athens, document as peer reviewed by the European Commission, Directorate General for Research.</w:t>
      </w:r>
    </w:p>
    <w:p w:rsidR="00D9026F" w:rsidRPr="008D4DFC" w:rsidRDefault="00D9026F" w:rsidP="00BD03CC">
      <w:pPr>
        <w:spacing w:after="120"/>
        <w:ind w:left="284" w:hanging="284"/>
        <w:jc w:val="both"/>
        <w:rPr>
          <w:lang w:val="en-US"/>
        </w:rPr>
      </w:pPr>
      <w:r w:rsidRPr="008D4DFC">
        <w:rPr>
          <w:lang w:val="en-US"/>
        </w:rPr>
        <w:t xml:space="preserve">Convery, F.J. (2009), “Origins and Development of the EU ETS”, </w:t>
      </w:r>
      <w:r w:rsidRPr="008D4DFC">
        <w:rPr>
          <w:i/>
          <w:iCs/>
          <w:lang w:val="en-US"/>
        </w:rPr>
        <w:t>Environmental and Resource Economics</w:t>
      </w:r>
      <w:r w:rsidRPr="008D4DFC">
        <w:rPr>
          <w:lang w:val="en-US"/>
        </w:rPr>
        <w:t xml:space="preserve"> 43: 391-412.</w:t>
      </w:r>
    </w:p>
    <w:p w:rsidR="00D9026F" w:rsidRPr="008D4DFC" w:rsidRDefault="00D9026F" w:rsidP="00BD03CC">
      <w:pPr>
        <w:spacing w:after="120"/>
        <w:ind w:left="284" w:hanging="284"/>
        <w:jc w:val="both"/>
        <w:rPr>
          <w:lang w:val="en-US"/>
        </w:rPr>
      </w:pPr>
      <w:r w:rsidRPr="008D4DFC">
        <w:rPr>
          <w:lang w:val="en-US"/>
        </w:rPr>
        <w:lastRenderedPageBreak/>
        <w:t xml:space="preserve">Criqui, P. and S. Mima (2001), “The European greenhouse gas tradable emission permit system: some policy issues identified with the POLES-ASPEN model”, </w:t>
      </w:r>
      <w:r w:rsidRPr="008D4DFC">
        <w:rPr>
          <w:i/>
          <w:iCs/>
          <w:lang w:val="en-US"/>
        </w:rPr>
        <w:t>ENER Bulletin</w:t>
      </w:r>
      <w:r w:rsidRPr="008D4DFC">
        <w:rPr>
          <w:lang w:val="en-US"/>
        </w:rPr>
        <w:t xml:space="preserve"> 23: 51-55.</w:t>
      </w:r>
    </w:p>
    <w:p w:rsidR="00D9026F" w:rsidRPr="008D4DFC" w:rsidRDefault="00D9026F" w:rsidP="00BD03CC">
      <w:pPr>
        <w:spacing w:after="120"/>
        <w:ind w:left="284" w:hanging="284"/>
        <w:jc w:val="both"/>
        <w:rPr>
          <w:lang w:val="en-US"/>
        </w:rPr>
      </w:pPr>
      <w:r w:rsidRPr="008D4DFC">
        <w:rPr>
          <w:lang w:val="en-US"/>
        </w:rPr>
        <w:t>Dijkstra, B.R., E. Manderson and T-Y. Lee (2008), “Partial international emissions trading”, GEP Research Paper 2008/27, University of Nottingham.</w:t>
      </w:r>
    </w:p>
    <w:p w:rsidR="00D9026F" w:rsidRPr="008D4DFC" w:rsidRDefault="00D9026F">
      <w:pPr>
        <w:spacing w:after="120"/>
        <w:ind w:left="284" w:hanging="284"/>
        <w:jc w:val="both"/>
        <w:rPr>
          <w:lang w:val="en-US"/>
        </w:rPr>
      </w:pPr>
      <w:r w:rsidRPr="008D4DFC">
        <w:rPr>
          <w:lang w:val="en-US"/>
        </w:rPr>
        <w:t xml:space="preserve">Dijkstra, B.R., E. Manderson and T-Y. Lee (2011), “Extending the sectoral coverage of an international emissions trading scheme”, </w:t>
      </w:r>
      <w:r w:rsidRPr="008D4DFC">
        <w:rPr>
          <w:i/>
          <w:iCs/>
          <w:lang w:val="en-US"/>
        </w:rPr>
        <w:t>Environmental and Resource Economics</w:t>
      </w:r>
      <w:r w:rsidRPr="00550328">
        <w:rPr>
          <w:iCs/>
          <w:lang w:val="en-US"/>
        </w:rPr>
        <w:t xml:space="preserve"> 50:</w:t>
      </w:r>
      <w:r>
        <w:rPr>
          <w:iCs/>
          <w:lang w:val="en-US"/>
        </w:rPr>
        <w:t xml:space="preserve"> </w:t>
      </w:r>
      <w:r w:rsidRPr="00550328">
        <w:rPr>
          <w:iCs/>
          <w:lang w:val="en-US"/>
        </w:rPr>
        <w:t>243</w:t>
      </w:r>
      <w:r>
        <w:rPr>
          <w:iCs/>
          <w:lang w:val="en-US"/>
        </w:rPr>
        <w:t>–266.</w:t>
      </w:r>
    </w:p>
    <w:p w:rsidR="00D9026F" w:rsidRPr="008D4DFC" w:rsidRDefault="00D9026F" w:rsidP="00BD03CC">
      <w:pPr>
        <w:spacing w:after="120"/>
        <w:ind w:left="284" w:hanging="284"/>
        <w:jc w:val="both"/>
        <w:rPr>
          <w:lang w:val="en-US"/>
        </w:rPr>
      </w:pPr>
      <w:r w:rsidRPr="008D4DFC">
        <w:rPr>
          <w:lang w:val="en-US"/>
        </w:rPr>
        <w:t xml:space="preserve">EIA (2010), “International Energy Outlook”, Energy Information Administration, US Department of Energy, available at </w:t>
      </w:r>
      <w:hyperlink r:id="rId102" w:history="1">
        <w:r w:rsidRPr="008D4DFC">
          <w:rPr>
            <w:rStyle w:val="Hyperlink"/>
            <w:lang w:val="en-US"/>
          </w:rPr>
          <w:t>http://www.eia.doe.gov/oiaf/ieo/</w:t>
        </w:r>
      </w:hyperlink>
      <w:r w:rsidRPr="008D4DFC">
        <w:rPr>
          <w:lang w:val="en-US"/>
        </w:rPr>
        <w:t>.</w:t>
      </w:r>
    </w:p>
    <w:p w:rsidR="00D9026F" w:rsidRPr="008D4DFC" w:rsidRDefault="00D9026F" w:rsidP="00BD03CC">
      <w:pPr>
        <w:spacing w:after="120"/>
        <w:ind w:left="284" w:hanging="284"/>
        <w:jc w:val="both"/>
        <w:rPr>
          <w:lang w:val="en-US"/>
        </w:rPr>
      </w:pPr>
      <w:r w:rsidRPr="008D4DFC">
        <w:rPr>
          <w:lang w:val="en-US"/>
        </w:rPr>
        <w:t>Eichner, T. and R. Pethig (2009), “Efficient CO</w:t>
      </w:r>
      <w:r w:rsidRPr="008D4DFC">
        <w:rPr>
          <w:vertAlign w:val="subscript"/>
          <w:lang w:val="en-US"/>
        </w:rPr>
        <w:t>2</w:t>
      </w:r>
      <w:r w:rsidRPr="008D4DFC">
        <w:rPr>
          <w:lang w:val="en-US"/>
        </w:rPr>
        <w:t xml:space="preserve"> emissions control with emissions taxes and international emissions trading”, </w:t>
      </w:r>
      <w:r w:rsidRPr="008D4DFC">
        <w:rPr>
          <w:i/>
          <w:iCs/>
          <w:lang w:val="en-US"/>
        </w:rPr>
        <w:t>European Economic Review</w:t>
      </w:r>
      <w:r w:rsidRPr="008D4DFC">
        <w:rPr>
          <w:lang w:val="en-US"/>
        </w:rPr>
        <w:t xml:space="preserve"> 53: 625-635.</w:t>
      </w:r>
    </w:p>
    <w:p w:rsidR="00D9026F" w:rsidRPr="008D4DFC" w:rsidRDefault="00D9026F" w:rsidP="00BD03CC">
      <w:pPr>
        <w:ind w:left="284" w:hanging="284"/>
        <w:jc w:val="both"/>
        <w:rPr>
          <w:snapToGrid w:val="0"/>
          <w:lang w:val="en-US"/>
        </w:rPr>
      </w:pPr>
      <w:r w:rsidRPr="008D4DFC">
        <w:rPr>
          <w:snapToGrid w:val="0"/>
          <w:lang w:val="en-US"/>
        </w:rPr>
        <w:t>EU (2007), “Limiting Global Climate Change to 2 degrees Celsius – The way ahead for 2020 and beyond”, European Commission, Brussels; available at:</w:t>
      </w:r>
    </w:p>
    <w:p w:rsidR="00D9026F" w:rsidRPr="008D4DFC" w:rsidRDefault="0083505D" w:rsidP="00BD03CC">
      <w:pPr>
        <w:spacing w:after="120"/>
        <w:ind w:left="284"/>
        <w:jc w:val="both"/>
        <w:rPr>
          <w:snapToGrid w:val="0"/>
          <w:lang w:val="en-US"/>
        </w:rPr>
      </w:pPr>
      <w:hyperlink r:id="rId103" w:history="1">
        <w:r w:rsidR="00D9026F" w:rsidRPr="008D4DFC">
          <w:rPr>
            <w:rStyle w:val="Hyperlink"/>
            <w:snapToGrid w:val="0"/>
            <w:lang w:val="en-US"/>
          </w:rPr>
          <w:t>http://ec.europa.eu/environment/climat/future_action.htm</w:t>
        </w:r>
      </w:hyperlink>
    </w:p>
    <w:p w:rsidR="00D9026F" w:rsidRPr="008D4DFC" w:rsidRDefault="00D9026F" w:rsidP="00D75138">
      <w:pPr>
        <w:spacing w:after="120"/>
        <w:ind w:left="284" w:hanging="284"/>
        <w:jc w:val="both"/>
        <w:rPr>
          <w:snapToGrid w:val="0"/>
          <w:lang w:val="en-US"/>
        </w:rPr>
      </w:pPr>
      <w:r w:rsidRPr="008D4DFC">
        <w:rPr>
          <w:snapToGrid w:val="0"/>
          <w:lang w:val="en-US"/>
        </w:rPr>
        <w:t>Eyckmans, J., D. van Regemorter and V. van Steenberghe (2001): “Is Kyoto fatally flawed? – An Analysis with MacGEM”, Working Paper Series - Faculty of Economics, University of Leuven, No. 2001-18, Leuven.</w:t>
      </w:r>
    </w:p>
    <w:p w:rsidR="00D9026F" w:rsidRPr="00D75138" w:rsidRDefault="00D9026F" w:rsidP="00D75138">
      <w:pPr>
        <w:spacing w:after="120"/>
        <w:ind w:left="284" w:hanging="284"/>
        <w:jc w:val="both"/>
        <w:rPr>
          <w:snapToGrid w:val="0"/>
          <w:lang w:val="en-US"/>
        </w:rPr>
      </w:pPr>
      <w:r w:rsidRPr="008D4DFC">
        <w:rPr>
          <w:snapToGrid w:val="0"/>
          <w:lang w:val="en-US"/>
        </w:rPr>
        <w:t>Godal, O. and B. Holtsmark (201</w:t>
      </w:r>
      <w:r>
        <w:rPr>
          <w:snapToGrid w:val="0"/>
          <w:lang w:val="en-US"/>
        </w:rPr>
        <w:t>1</w:t>
      </w:r>
      <w:r w:rsidRPr="008D4DFC">
        <w:rPr>
          <w:snapToGrid w:val="0"/>
          <w:lang w:val="en-US"/>
        </w:rPr>
        <w:t>), “</w:t>
      </w:r>
      <w:r w:rsidRPr="00D75138">
        <w:rPr>
          <w:snapToGrid w:val="0"/>
          <w:lang w:val="en-US"/>
        </w:rPr>
        <w:t>Emissions trading: Merely an efficiency neutral redistributi</w:t>
      </w:r>
      <w:r>
        <w:rPr>
          <w:snapToGrid w:val="0"/>
          <w:lang w:val="en-US"/>
        </w:rPr>
        <w:t>on from climate change victims?”</w:t>
      </w:r>
      <w:r w:rsidRPr="00D75138">
        <w:rPr>
          <w:snapToGrid w:val="0"/>
          <w:lang w:val="en-US"/>
        </w:rPr>
        <w:t xml:space="preserve"> </w:t>
      </w:r>
      <w:r w:rsidRPr="00550328">
        <w:rPr>
          <w:i/>
          <w:snapToGrid w:val="0"/>
          <w:lang w:val="en-US"/>
        </w:rPr>
        <w:t>Scandinavian Journal of Economics</w:t>
      </w:r>
      <w:r w:rsidRPr="00D75138">
        <w:rPr>
          <w:snapToGrid w:val="0"/>
          <w:lang w:val="en-US"/>
        </w:rPr>
        <w:t xml:space="preserve"> 113</w:t>
      </w:r>
      <w:r>
        <w:rPr>
          <w:snapToGrid w:val="0"/>
          <w:lang w:val="en-US"/>
        </w:rPr>
        <w:t>:</w:t>
      </w:r>
      <w:r w:rsidRPr="00D75138">
        <w:rPr>
          <w:snapToGrid w:val="0"/>
          <w:lang w:val="en-US"/>
        </w:rPr>
        <w:t xml:space="preserve"> 784–797. </w:t>
      </w:r>
    </w:p>
    <w:p w:rsidR="00D9026F" w:rsidRPr="000D15B1" w:rsidRDefault="00D9026F" w:rsidP="006F1510">
      <w:pPr>
        <w:spacing w:after="120"/>
        <w:ind w:left="539" w:hanging="540"/>
        <w:jc w:val="both"/>
        <w:rPr>
          <w:lang w:val="en-US"/>
        </w:rPr>
      </w:pPr>
      <w:r>
        <w:rPr>
          <w:lang w:val="en-US"/>
        </w:rPr>
        <w:t>Hahn, R.</w:t>
      </w:r>
      <w:r w:rsidRPr="000D15B1">
        <w:rPr>
          <w:lang w:val="en-US"/>
        </w:rPr>
        <w:t>W. (1984)</w:t>
      </w:r>
      <w:r>
        <w:rPr>
          <w:lang w:val="en-US"/>
        </w:rPr>
        <w:t>,</w:t>
      </w:r>
      <w:r w:rsidRPr="000D15B1">
        <w:rPr>
          <w:lang w:val="en-US"/>
        </w:rPr>
        <w:t xml:space="preserve"> </w:t>
      </w:r>
      <w:r>
        <w:rPr>
          <w:lang w:val="en-US"/>
        </w:rPr>
        <w:t>“</w:t>
      </w:r>
      <w:r w:rsidRPr="000D15B1">
        <w:rPr>
          <w:lang w:val="en-US"/>
        </w:rPr>
        <w:t>Market Power and Transferable Property Rights</w:t>
      </w:r>
      <w:r>
        <w:rPr>
          <w:lang w:val="en-US"/>
        </w:rPr>
        <w:t>”,</w:t>
      </w:r>
      <w:r w:rsidRPr="000D15B1">
        <w:rPr>
          <w:lang w:val="en-US"/>
        </w:rPr>
        <w:t xml:space="preserve"> </w:t>
      </w:r>
      <w:r w:rsidRPr="000D15B1">
        <w:rPr>
          <w:i/>
          <w:lang w:val="en-US"/>
        </w:rPr>
        <w:t>Quarterly Journal of Economics</w:t>
      </w:r>
      <w:r w:rsidRPr="000D15B1">
        <w:rPr>
          <w:lang w:val="en-US"/>
        </w:rPr>
        <w:t xml:space="preserve"> </w:t>
      </w:r>
      <w:r w:rsidRPr="006F1510">
        <w:rPr>
          <w:lang w:val="en-US"/>
        </w:rPr>
        <w:t>99</w:t>
      </w:r>
      <w:r>
        <w:rPr>
          <w:lang w:val="en-US"/>
        </w:rPr>
        <w:t>:</w:t>
      </w:r>
      <w:r w:rsidRPr="000D15B1">
        <w:rPr>
          <w:lang w:val="en-US"/>
        </w:rPr>
        <w:t xml:space="preserve"> 753-765.</w:t>
      </w:r>
    </w:p>
    <w:p w:rsidR="00D9026F" w:rsidRPr="008D4DFC" w:rsidRDefault="00D9026F" w:rsidP="00BD03CC">
      <w:pPr>
        <w:spacing w:after="120"/>
        <w:ind w:left="284" w:hanging="284"/>
        <w:jc w:val="both"/>
        <w:rPr>
          <w:snapToGrid w:val="0"/>
          <w:lang w:val="en-US"/>
        </w:rPr>
      </w:pPr>
      <w:r w:rsidRPr="008D4DFC">
        <w:rPr>
          <w:snapToGrid w:val="0"/>
          <w:lang w:val="en-US"/>
        </w:rPr>
        <w:t xml:space="preserve">Helm, C. (2003), “International emissions trading with endogenous allowance choices”, </w:t>
      </w:r>
      <w:r w:rsidRPr="008D4DFC">
        <w:rPr>
          <w:i/>
          <w:iCs/>
          <w:snapToGrid w:val="0"/>
          <w:lang w:val="en-US"/>
        </w:rPr>
        <w:t>Journal of Public Economics</w:t>
      </w:r>
      <w:r w:rsidRPr="008D4DFC">
        <w:rPr>
          <w:snapToGrid w:val="0"/>
          <w:lang w:val="en-US"/>
        </w:rPr>
        <w:t xml:space="preserve"> 87: 2737-2747.</w:t>
      </w:r>
    </w:p>
    <w:p w:rsidR="00D9026F" w:rsidRPr="008D4DFC" w:rsidRDefault="00D9026F" w:rsidP="00BD03CC">
      <w:pPr>
        <w:spacing w:after="120"/>
        <w:ind w:left="284" w:hanging="284"/>
        <w:jc w:val="both"/>
        <w:rPr>
          <w:snapToGrid w:val="0"/>
          <w:lang w:val="en-US"/>
        </w:rPr>
      </w:pPr>
      <w:r w:rsidRPr="008D4DFC">
        <w:rPr>
          <w:snapToGrid w:val="0"/>
          <w:lang w:val="en-US"/>
        </w:rPr>
        <w:t xml:space="preserve">Kruger, J.K. and W.A. Pizer (2004), “Greenhouse gas trading in Europe: the grand new policy experiment”, </w:t>
      </w:r>
      <w:r w:rsidRPr="008D4DFC">
        <w:rPr>
          <w:i/>
          <w:iCs/>
          <w:snapToGrid w:val="0"/>
          <w:lang w:val="en-US"/>
        </w:rPr>
        <w:t>Environment</w:t>
      </w:r>
      <w:r w:rsidRPr="008D4DFC">
        <w:rPr>
          <w:snapToGrid w:val="0"/>
          <w:lang w:val="en-US"/>
        </w:rPr>
        <w:t xml:space="preserve"> 46: 8-23.</w:t>
      </w:r>
    </w:p>
    <w:p w:rsidR="00D9026F" w:rsidRPr="008D4DFC" w:rsidRDefault="00D9026F" w:rsidP="00BD03CC">
      <w:pPr>
        <w:spacing w:after="120"/>
        <w:ind w:left="284" w:hanging="284"/>
        <w:jc w:val="both"/>
        <w:rPr>
          <w:lang w:val="en-US"/>
        </w:rPr>
      </w:pPr>
      <w:r w:rsidRPr="008D4DFC">
        <w:rPr>
          <w:lang w:val="en-US"/>
        </w:rPr>
        <w:t xml:space="preserve">Maeda, A. (2003), “The emergence of market power in emission rights markets: The role of initial permit distribution”, </w:t>
      </w:r>
      <w:r w:rsidRPr="008D4DFC">
        <w:rPr>
          <w:i/>
          <w:iCs/>
          <w:lang w:val="en-US"/>
        </w:rPr>
        <w:t>Journal of Regulatory Economics</w:t>
      </w:r>
      <w:r w:rsidRPr="008D4DFC">
        <w:rPr>
          <w:lang w:val="en-US"/>
        </w:rPr>
        <w:t xml:space="preserve"> 24: 293-314.</w:t>
      </w:r>
    </w:p>
    <w:p w:rsidR="00D9026F" w:rsidRPr="008D4DFC" w:rsidRDefault="00D9026F" w:rsidP="002366BC">
      <w:pPr>
        <w:spacing w:after="120"/>
        <w:ind w:left="284" w:hanging="284"/>
        <w:jc w:val="both"/>
        <w:rPr>
          <w:lang w:val="en-US"/>
        </w:rPr>
      </w:pPr>
      <w:r w:rsidRPr="008D4DFC">
        <w:rPr>
          <w:lang w:val="en-US"/>
        </w:rPr>
        <w:lastRenderedPageBreak/>
        <w:t xml:space="preserve">Malueg, D.A. and A.J. Yates (2009a), “Bilateral oligopoly, private information, and pollution permit markets”, </w:t>
      </w:r>
      <w:r w:rsidRPr="008D4DFC">
        <w:rPr>
          <w:i/>
          <w:iCs/>
          <w:lang w:val="en-US"/>
        </w:rPr>
        <w:t>Environmental and Resource Economics</w:t>
      </w:r>
      <w:r w:rsidRPr="008D4DFC">
        <w:rPr>
          <w:lang w:val="en-US"/>
        </w:rPr>
        <w:t xml:space="preserve"> 43: 553-572.</w:t>
      </w:r>
    </w:p>
    <w:p w:rsidR="00D9026F" w:rsidRPr="008D4DFC" w:rsidRDefault="00D9026F" w:rsidP="00BD03CC">
      <w:pPr>
        <w:spacing w:after="120"/>
        <w:ind w:left="284" w:hanging="284"/>
        <w:jc w:val="both"/>
        <w:rPr>
          <w:lang w:val="en-US"/>
        </w:rPr>
      </w:pPr>
      <w:r w:rsidRPr="008D4DFC">
        <w:rPr>
          <w:lang w:val="en-US"/>
        </w:rPr>
        <w:t xml:space="preserve">Malueg, D.A. and A.J. Yates (2009b), “Strategic behaviour, private information, and decentralisation in the European Union Emissions Trading Scheme”, </w:t>
      </w:r>
      <w:r w:rsidRPr="008D4DFC">
        <w:rPr>
          <w:i/>
          <w:iCs/>
          <w:lang w:val="en-US"/>
        </w:rPr>
        <w:t>Environmental and Resource Economics</w:t>
      </w:r>
      <w:r w:rsidRPr="008D4DFC">
        <w:rPr>
          <w:lang w:val="en-US"/>
        </w:rPr>
        <w:t xml:space="preserve"> 43: 413-432.</w:t>
      </w:r>
    </w:p>
    <w:p w:rsidR="00D9026F" w:rsidRPr="008D4DFC" w:rsidRDefault="00D9026F" w:rsidP="00BD03CC">
      <w:pPr>
        <w:ind w:left="284" w:hanging="284"/>
        <w:jc w:val="both"/>
        <w:rPr>
          <w:lang w:val="en-US"/>
        </w:rPr>
      </w:pPr>
      <w:r w:rsidRPr="008D4DFC">
        <w:rPr>
          <w:lang w:val="en-US"/>
        </w:rPr>
        <w:t>Okagawa, A. and K. Ban (2008), “Estimation of Substitution Elasticities for CGE Models”, mimeo, Osaka University, April 2008, available at:</w:t>
      </w:r>
    </w:p>
    <w:p w:rsidR="00D9026F" w:rsidRPr="008D4DFC" w:rsidRDefault="0083505D" w:rsidP="00BD03CC">
      <w:pPr>
        <w:spacing w:after="120"/>
        <w:ind w:left="284"/>
        <w:jc w:val="both"/>
        <w:rPr>
          <w:lang w:val="en-US"/>
        </w:rPr>
      </w:pPr>
      <w:hyperlink r:id="rId104" w:history="1">
        <w:r w:rsidR="00D9026F" w:rsidRPr="008D4DFC">
          <w:rPr>
            <w:rStyle w:val="Hyperlink"/>
            <w:lang w:val="en-US"/>
          </w:rPr>
          <w:t>http://www.esri.go.jp/jp/workshop/080225/03_report5_Okagawa.pdf</w:t>
        </w:r>
      </w:hyperlink>
    </w:p>
    <w:p w:rsidR="00D9026F" w:rsidRPr="008D4DFC" w:rsidRDefault="00D9026F" w:rsidP="00BD03CC">
      <w:pPr>
        <w:spacing w:after="120"/>
        <w:ind w:left="284" w:hanging="284"/>
        <w:jc w:val="both"/>
        <w:rPr>
          <w:rStyle w:val="value"/>
          <w:lang w:val="en-US"/>
        </w:rPr>
      </w:pPr>
      <w:r w:rsidRPr="008D4DFC">
        <w:rPr>
          <w:lang w:val="en-US"/>
        </w:rPr>
        <w:t xml:space="preserve">Schüle, R. and W. Sterk (2009), “Linking domestic emissions trading schemes and the evolution of the international climate regime bottom-up support of top-down processes?”, Introduction to the special issue, </w:t>
      </w:r>
      <w:hyperlink r:id="rId105" w:tooltip="Link to the Journal of this Article" w:history="1">
        <w:r w:rsidRPr="008D4DFC">
          <w:rPr>
            <w:rStyle w:val="Hyperlink"/>
            <w:color w:val="auto"/>
            <w:u w:val="none"/>
            <w:lang w:val="en-US"/>
          </w:rPr>
          <w:t>Mitigation and Adaptation Strategies for Global Change</w:t>
        </w:r>
      </w:hyperlink>
      <w:r w:rsidRPr="008D4DFC">
        <w:rPr>
          <w:lang w:val="en-US"/>
        </w:rPr>
        <w:t xml:space="preserve"> </w:t>
      </w:r>
      <w:r w:rsidRPr="008D4DFC">
        <w:rPr>
          <w:rStyle w:val="pagination"/>
          <w:lang w:val="en-US"/>
        </w:rPr>
        <w:t>375-378</w:t>
      </w:r>
      <w:r w:rsidRPr="008D4DFC">
        <w:rPr>
          <w:rStyle w:val="doi"/>
          <w:lang w:val="en-US"/>
        </w:rPr>
        <w:t xml:space="preserve">, </w:t>
      </w:r>
      <w:r w:rsidRPr="008D4DFC">
        <w:rPr>
          <w:rStyle w:val="label"/>
          <w:lang w:val="en-US"/>
        </w:rPr>
        <w:t>DOI:</w:t>
      </w:r>
      <w:r w:rsidRPr="008D4DFC">
        <w:rPr>
          <w:rStyle w:val="doi"/>
          <w:lang w:val="en-US"/>
        </w:rPr>
        <w:t xml:space="preserve"> </w:t>
      </w:r>
      <w:r w:rsidRPr="008D4DFC">
        <w:rPr>
          <w:rStyle w:val="value"/>
          <w:lang w:val="en-US"/>
        </w:rPr>
        <w:t>10.1007/s11027-009-9182-9</w:t>
      </w:r>
    </w:p>
    <w:p w:rsidR="00D9026F" w:rsidRDefault="00D9026F" w:rsidP="00BD03CC">
      <w:pPr>
        <w:spacing w:after="120"/>
        <w:ind w:left="284" w:hanging="284"/>
        <w:jc w:val="both"/>
        <w:rPr>
          <w:lang w:val="en-US"/>
        </w:rPr>
      </w:pPr>
      <w:r>
        <w:rPr>
          <w:lang w:val="en-US"/>
        </w:rPr>
        <w:t xml:space="preserve">UNFCCC (2010), “Report of the Conference of the Parties on its fifteenth session, held in Copenhagen from 7 to 19 December 2009. Addendum, Part Two: Actions taken by the Conference of the Parties on its fifteenth session”, </w:t>
      </w:r>
      <w:r w:rsidRPr="00EF21EA">
        <w:rPr>
          <w:rFonts w:ascii="TimesNewRoman" w:hAnsi="TimesNewRoman" w:cs="TimesNewRoman"/>
          <w:lang w:val="en-GB"/>
        </w:rPr>
        <w:t>FCCC/CP/2009/11/Add.1,</w:t>
      </w:r>
      <w:r>
        <w:rPr>
          <w:rFonts w:ascii="TimesNewRoman" w:hAnsi="TimesNewRoman" w:cs="TimesNewRoman"/>
          <w:sz w:val="22"/>
          <w:szCs w:val="22"/>
          <w:lang w:val="en-GB"/>
        </w:rPr>
        <w:t xml:space="preserve"> </w:t>
      </w:r>
      <w:r>
        <w:rPr>
          <w:lang w:val="en-US"/>
        </w:rPr>
        <w:t>United Nations Framework Convention on</w:t>
      </w:r>
      <w:r w:rsidRPr="00F64411">
        <w:rPr>
          <w:sz w:val="20"/>
          <w:szCs w:val="20"/>
          <w:lang w:val="en-US"/>
        </w:rPr>
        <w:t xml:space="preserve"> </w:t>
      </w:r>
      <w:r>
        <w:rPr>
          <w:lang w:val="en-US"/>
        </w:rPr>
        <w:t>Climate</w:t>
      </w:r>
      <w:r w:rsidRPr="00F64411">
        <w:rPr>
          <w:sz w:val="20"/>
          <w:szCs w:val="20"/>
          <w:lang w:val="en-US"/>
        </w:rPr>
        <w:t xml:space="preserve"> </w:t>
      </w:r>
      <w:r>
        <w:rPr>
          <w:lang w:val="en-US"/>
        </w:rPr>
        <w:t>Change,</w:t>
      </w:r>
      <w:r w:rsidRPr="00F64411">
        <w:rPr>
          <w:sz w:val="20"/>
          <w:szCs w:val="20"/>
          <w:lang w:val="en-US"/>
        </w:rPr>
        <w:t xml:space="preserve"> </w:t>
      </w:r>
      <w:r>
        <w:rPr>
          <w:lang w:val="en-US"/>
        </w:rPr>
        <w:t>available</w:t>
      </w:r>
      <w:r w:rsidRPr="00F64411">
        <w:rPr>
          <w:sz w:val="20"/>
          <w:szCs w:val="20"/>
          <w:lang w:val="en-US"/>
        </w:rPr>
        <w:t xml:space="preserve"> </w:t>
      </w:r>
      <w:r>
        <w:rPr>
          <w:lang w:val="en-US"/>
        </w:rPr>
        <w:t>at:</w:t>
      </w:r>
      <w:r w:rsidRPr="00F64411">
        <w:rPr>
          <w:sz w:val="20"/>
          <w:szCs w:val="20"/>
          <w:lang w:val="en-US"/>
        </w:rPr>
        <w:t xml:space="preserve"> </w:t>
      </w:r>
      <w:r w:rsidRPr="003804EC">
        <w:rPr>
          <w:lang w:val="en-US"/>
        </w:rPr>
        <w:t>http://unfccc.int/resource/docs/2009/cop15/eng/11a01.pdf</w:t>
      </w:r>
      <w:r>
        <w:rPr>
          <w:lang w:val="en-US"/>
        </w:rPr>
        <w:t>.</w:t>
      </w:r>
    </w:p>
    <w:p w:rsidR="00D9026F" w:rsidRDefault="00D9026F" w:rsidP="00BD03CC">
      <w:pPr>
        <w:spacing w:after="120"/>
        <w:ind w:left="284" w:hanging="284"/>
        <w:jc w:val="both"/>
        <w:rPr>
          <w:lang w:val="en-US"/>
        </w:rPr>
      </w:pPr>
      <w:r>
        <w:rPr>
          <w:lang w:val="en-US"/>
        </w:rPr>
        <w:t xml:space="preserve">UNFCCC (2011a), “Compilation of economy-wide reduction targets to be implemented by Parties included in Annex I of the convention”, FCCC/SB/2011/INF.1/Rev.1, UNFCCC, available at: </w:t>
      </w:r>
      <w:r w:rsidRPr="00EF21EA">
        <w:rPr>
          <w:lang w:val="en-US"/>
        </w:rPr>
        <w:t>http://unfccc.int/resource/docs/2011/sb/eng/inf01r01.pdf</w:t>
      </w:r>
      <w:r>
        <w:rPr>
          <w:lang w:val="en-US"/>
        </w:rPr>
        <w:t>.</w:t>
      </w:r>
    </w:p>
    <w:p w:rsidR="00D9026F" w:rsidRDefault="00D9026F" w:rsidP="003804EC">
      <w:pPr>
        <w:spacing w:after="120"/>
        <w:ind w:left="284" w:hanging="284"/>
        <w:jc w:val="both"/>
        <w:rPr>
          <w:lang w:val="en-US"/>
        </w:rPr>
      </w:pPr>
      <w:r>
        <w:rPr>
          <w:lang w:val="en-US"/>
        </w:rPr>
        <w:t>UNFCCC (2011b), “Compilation of information on nationally appropriate mitigation actions to be implemented by Parties not included in Annex I of the convention”, FCCC/AWGLCA/2011/INF.1, UNFCCC, available at:</w:t>
      </w:r>
      <w:r w:rsidRPr="00080517">
        <w:rPr>
          <w:lang w:val="en-US"/>
        </w:rPr>
        <w:t xml:space="preserve"> </w:t>
      </w:r>
      <w:r w:rsidRPr="00EF21EA">
        <w:rPr>
          <w:lang w:val="en-US"/>
        </w:rPr>
        <w:t>http://unfccc.int/resource/docs/2011/awglca14/eng/inf01.pdf</w:t>
      </w:r>
      <w:r>
        <w:rPr>
          <w:lang w:val="en-US"/>
        </w:rPr>
        <w:t>.</w:t>
      </w:r>
    </w:p>
    <w:p w:rsidR="00D9026F" w:rsidRPr="008D4DFC" w:rsidRDefault="00D9026F" w:rsidP="00BD03CC">
      <w:pPr>
        <w:spacing w:after="120"/>
        <w:ind w:left="284" w:hanging="284"/>
        <w:jc w:val="both"/>
        <w:rPr>
          <w:lang w:val="en-US"/>
        </w:rPr>
      </w:pPr>
      <w:r w:rsidRPr="008D4DFC">
        <w:rPr>
          <w:lang w:val="en-US"/>
        </w:rPr>
        <w:t xml:space="preserve">Viguier, L., M. Vielle, A. Haurie, A. Bernard (2006), “A two-level computable equilibrium model to assess the strategic allocation of emission allowances within the European Union”, </w:t>
      </w:r>
      <w:r w:rsidRPr="008D4DFC">
        <w:rPr>
          <w:i/>
          <w:iCs/>
          <w:lang w:val="en-US"/>
        </w:rPr>
        <w:t>Computers and Operations Research</w:t>
      </w:r>
      <w:r w:rsidRPr="008D4DFC">
        <w:rPr>
          <w:lang w:val="en-US"/>
        </w:rPr>
        <w:t xml:space="preserve"> 33: 369–385.</w:t>
      </w:r>
    </w:p>
    <w:p w:rsidR="00D9026F" w:rsidRPr="008D4DFC" w:rsidRDefault="00D9026F" w:rsidP="00BD03CC">
      <w:pPr>
        <w:spacing w:after="120"/>
        <w:ind w:left="284" w:hanging="284"/>
        <w:jc w:val="both"/>
        <w:rPr>
          <w:lang w:val="en-US"/>
        </w:rPr>
      </w:pPr>
      <w:r w:rsidRPr="008D4DFC">
        <w:rPr>
          <w:lang w:val="en-US"/>
        </w:rPr>
        <w:t>Westskog, H. (1996), “Market power in a system of tradeable CO</w:t>
      </w:r>
      <w:r w:rsidRPr="008D4DFC">
        <w:rPr>
          <w:vertAlign w:val="subscript"/>
          <w:lang w:val="en-US"/>
        </w:rPr>
        <w:t>2</w:t>
      </w:r>
      <w:r w:rsidRPr="008D4DFC">
        <w:rPr>
          <w:lang w:val="en-US"/>
        </w:rPr>
        <w:t xml:space="preserve"> quotas”, </w:t>
      </w:r>
      <w:r w:rsidRPr="008D4DFC">
        <w:rPr>
          <w:i/>
          <w:iCs/>
          <w:lang w:val="en-US"/>
        </w:rPr>
        <w:t>Energy Journal</w:t>
      </w:r>
      <w:r w:rsidRPr="008D4DFC">
        <w:rPr>
          <w:lang w:val="en-US"/>
        </w:rPr>
        <w:t xml:space="preserve"> 17(3): 85-103.</w:t>
      </w:r>
    </w:p>
    <w:p w:rsidR="00D9026F" w:rsidRPr="00E5200F" w:rsidRDefault="00D9026F" w:rsidP="00E5200F">
      <w:pPr>
        <w:pStyle w:val="Heading1"/>
        <w:jc w:val="both"/>
        <w:rPr>
          <w:lang w:val="en-US"/>
        </w:rPr>
      </w:pPr>
      <w:r w:rsidRPr="00E5200F">
        <w:rPr>
          <w:lang w:val="en-US"/>
        </w:rPr>
        <w:lastRenderedPageBreak/>
        <w:t>Appendix A: Proofs</w:t>
      </w:r>
    </w:p>
    <w:p w:rsidR="00D9026F" w:rsidRPr="009C4D7C" w:rsidRDefault="00D9026F" w:rsidP="002B19E2">
      <w:pPr>
        <w:spacing w:before="240" w:after="120"/>
        <w:jc w:val="both"/>
        <w:rPr>
          <w:b/>
          <w:lang w:val="en-US"/>
        </w:rPr>
      </w:pPr>
      <w:r w:rsidRPr="009C4D7C">
        <w:rPr>
          <w:b/>
          <w:lang w:val="en-US"/>
        </w:rPr>
        <w:t>A.1 Proposition 1</w:t>
      </w:r>
    </w:p>
    <w:p w:rsidR="00D9026F" w:rsidRPr="008D4DFC" w:rsidRDefault="00D9026F" w:rsidP="009C4D7C">
      <w:pPr>
        <w:jc w:val="both"/>
        <w:rPr>
          <w:lang w:val="en-US"/>
        </w:rPr>
      </w:pPr>
      <w:r w:rsidRPr="008D4DFC">
        <w:rPr>
          <w:lang w:val="en-US"/>
        </w:rPr>
        <w:t>Note that equation (7) implies:</w:t>
      </w:r>
    </w:p>
    <w:p w:rsidR="00D9026F" w:rsidRPr="008D4DFC" w:rsidRDefault="00D9026F" w:rsidP="00884933">
      <w:pPr>
        <w:pStyle w:val="Ligning"/>
        <w:rPr>
          <w:lang w:val="en-US"/>
        </w:rPr>
      </w:pPr>
      <w:r w:rsidRPr="008D4DFC">
        <w:rPr>
          <w:lang w:val="en-US"/>
        </w:rPr>
        <w:object w:dxaOrig="2540" w:dyaOrig="700">
          <v:shape id="_x0000_i1097" type="#_x0000_t75" style="width:116.85pt;height:36pt" o:ole="">
            <v:imagedata r:id="rId106" o:title=""/>
          </v:shape>
          <o:OLEObject Type="Embed" ProgID="Equation.DSMT4" ShapeID="_x0000_i1097" DrawAspect="Content" ObjectID="_1514967685" r:id="rId107"/>
        </w:object>
      </w:r>
      <w:r w:rsidRPr="008D4DFC">
        <w:rPr>
          <w:lang w:val="en-US"/>
        </w:rPr>
        <w:tab/>
      </w:r>
      <w:r w:rsidRPr="008D4DFC">
        <w:rPr>
          <w:lang w:val="en-US"/>
        </w:rPr>
        <w:tab/>
      </w:r>
      <w:r w:rsidRPr="008D4DFC">
        <w:rPr>
          <w:lang w:val="en-US"/>
        </w:rPr>
        <w:tab/>
      </w:r>
      <w:r w:rsidRPr="008D4DFC">
        <w:rPr>
          <w:lang w:val="en-US"/>
        </w:rPr>
        <w:tab/>
      </w:r>
      <w:r w:rsidRPr="008D4DFC">
        <w:rPr>
          <w:lang w:val="en-US"/>
        </w:rPr>
        <w:tab/>
      </w:r>
      <w:r w:rsidRPr="008D4DFC">
        <w:rPr>
          <w:lang w:val="en-US"/>
        </w:rPr>
        <w:tab/>
      </w:r>
      <w:r w:rsidRPr="008D4DFC">
        <w:rPr>
          <w:lang w:val="en-US"/>
        </w:rPr>
        <w:tab/>
      </w:r>
      <w:r w:rsidRPr="008D4DFC">
        <w:rPr>
          <w:lang w:val="en-US"/>
        </w:rPr>
        <w:tab/>
      </w:r>
      <w:r w:rsidRPr="008D4DFC">
        <w:rPr>
          <w:lang w:val="en-US"/>
        </w:rPr>
        <w:tab/>
      </w:r>
      <w:r>
        <w:rPr>
          <w:lang w:val="en-US"/>
        </w:rPr>
        <w:t>(A.1)</w:t>
      </w:r>
    </w:p>
    <w:p w:rsidR="00D9026F" w:rsidRDefault="00D9026F" w:rsidP="009C4D7C">
      <w:pPr>
        <w:jc w:val="both"/>
        <w:rPr>
          <w:lang w:val="en-US"/>
        </w:rPr>
      </w:pPr>
      <w:r w:rsidRPr="008D4DFC">
        <w:rPr>
          <w:lang w:val="en-US"/>
        </w:rPr>
        <w:t>In the cost-effective solution, marginal abatement costs are equal across countries and equal to the permit price. Moreover, since the countries have identical marginal cost functions in the non-trading sectors, their emissions in the non-trading segment are identical</w:t>
      </w:r>
      <w:r w:rsidRPr="008877AA">
        <w:rPr>
          <w:lang w:val="en-US"/>
        </w:rPr>
        <w:t xml:space="preserve"> </w:t>
      </w:r>
      <w:r>
        <w:rPr>
          <w:lang w:val="en-US"/>
        </w:rPr>
        <w:t>i</w:t>
      </w:r>
      <w:r w:rsidRPr="008D4DFC">
        <w:rPr>
          <w:lang w:val="en-US"/>
        </w:rPr>
        <w:t xml:space="preserve">n the cost-effective solution, and an identical change in emissions will obviously have identical effects on the marginal abatement costs. </w:t>
      </w:r>
      <w:r>
        <w:rPr>
          <w:lang w:val="en-US"/>
        </w:rPr>
        <w:t xml:space="preserve">Let </w:t>
      </w:r>
      <w:r w:rsidRPr="008D4DFC">
        <w:rPr>
          <w:lang w:val="en-US"/>
        </w:rPr>
        <w:t>Δ</w:t>
      </w:r>
      <w:r>
        <w:rPr>
          <w:lang w:val="en-US"/>
        </w:rPr>
        <w:t xml:space="preserve"> denote differences between the Nash equilibrium and the cost-effective solution. </w:t>
      </w:r>
      <w:r w:rsidRPr="008D4DFC">
        <w:rPr>
          <w:lang w:val="en-US"/>
        </w:rPr>
        <w:t>In the Nash equilibrium, exporters allocate less permits to the trading segment (Δ</w:t>
      </w:r>
      <w:r w:rsidRPr="008D4DFC">
        <w:rPr>
          <w:position w:val="-12"/>
          <w:lang w:val="en-US"/>
        </w:rPr>
        <w:object w:dxaOrig="300" w:dyaOrig="380">
          <v:shape id="_x0000_i1098" type="#_x0000_t75" style="width:13.6pt;height:16.3pt" o:ole="">
            <v:imagedata r:id="rId108" o:title=""/>
          </v:shape>
          <o:OLEObject Type="Embed" ProgID="Equation.DSMT4" ShapeID="_x0000_i1098" DrawAspect="Content" ObjectID="_1514967686" r:id="rId109"/>
        </w:object>
      </w:r>
      <w:r w:rsidRPr="008D4DFC">
        <w:rPr>
          <w:lang w:val="en-US"/>
        </w:rPr>
        <w:t xml:space="preserve"> &lt; 0), whereas importers allocate more permits (Δ</w:t>
      </w:r>
      <w:r w:rsidRPr="008D4DFC">
        <w:rPr>
          <w:position w:val="-12"/>
          <w:lang w:val="en-US"/>
        </w:rPr>
        <w:object w:dxaOrig="279" w:dyaOrig="380">
          <v:shape id="_x0000_i1099" type="#_x0000_t75" style="width:12.25pt;height:16.3pt" o:ole="">
            <v:imagedata r:id="rId110" o:title=""/>
          </v:shape>
          <o:OLEObject Type="Embed" ProgID="Equation.DSMT4" ShapeID="_x0000_i1099" DrawAspect="Content" ObjectID="_1514967687" r:id="rId111"/>
        </w:object>
      </w:r>
      <w:r w:rsidRPr="008D4DFC">
        <w:rPr>
          <w:lang w:val="en-US"/>
        </w:rPr>
        <w:t xml:space="preserve"> &gt; 0). Assume now that ∑Δ</w:t>
      </w:r>
      <w:r w:rsidRPr="008D4DFC">
        <w:rPr>
          <w:i/>
          <w:lang w:val="en-US"/>
        </w:rPr>
        <w:t>q</w:t>
      </w:r>
      <w:r w:rsidRPr="008D4DFC">
        <w:rPr>
          <w:i/>
          <w:vertAlign w:val="subscript"/>
          <w:lang w:val="en-US"/>
        </w:rPr>
        <w:t>i</w:t>
      </w:r>
      <w:r w:rsidRPr="008D4DFC">
        <w:rPr>
          <w:lang w:val="en-US"/>
        </w:rPr>
        <w:t xml:space="preserve"> ≥ 0. Then we know that Δ</w:t>
      </w:r>
      <w:r w:rsidRPr="008D4DFC">
        <w:rPr>
          <w:i/>
          <w:lang w:val="en-US"/>
        </w:rPr>
        <w:t xml:space="preserve">P </w:t>
      </w:r>
      <w:r w:rsidRPr="008D4DFC">
        <w:rPr>
          <w:lang w:val="en-US"/>
        </w:rPr>
        <w:t>≤ 0. However, ∑Δ</w:t>
      </w:r>
      <w:r w:rsidRPr="008D4DFC">
        <w:rPr>
          <w:i/>
          <w:lang w:val="en-US"/>
        </w:rPr>
        <w:t>q</w:t>
      </w:r>
      <w:r w:rsidRPr="008D4DFC">
        <w:rPr>
          <w:i/>
          <w:vertAlign w:val="subscript"/>
          <w:lang w:val="en-US"/>
        </w:rPr>
        <w:t>i</w:t>
      </w:r>
      <w:r w:rsidRPr="008D4DFC">
        <w:rPr>
          <w:lang w:val="en-US"/>
        </w:rPr>
        <w:t xml:space="preserve"> ≥ 0 also implies that total emissions in the non-trading segments of importers must decrease at least as much as the total increase in emissions in the non-trading segments of exporters. But then it follows from the assumed convexity of the marginal abatement cost functions that the right-hand side of equation </w:t>
      </w:r>
      <w:r>
        <w:rPr>
          <w:lang w:val="en-US"/>
        </w:rPr>
        <w:t>(A.1)</w:t>
      </w:r>
      <w:r w:rsidRPr="008D4DFC">
        <w:rPr>
          <w:lang w:val="en-US"/>
        </w:rPr>
        <w:t xml:space="preserve"> strictly increases, which contradicts Δ</w:t>
      </w:r>
      <w:r w:rsidRPr="008D4DFC">
        <w:rPr>
          <w:i/>
          <w:lang w:val="en-US"/>
        </w:rPr>
        <w:t xml:space="preserve">P </w:t>
      </w:r>
      <w:r w:rsidRPr="008D4DFC">
        <w:rPr>
          <w:lang w:val="en-US"/>
        </w:rPr>
        <w:t>≤ 0. Thus, the permit price will tend to increase compared to the cost-effective price, as exporters in general have stronger strategic power than importers.</w:t>
      </w:r>
      <w:r>
        <w:rPr>
          <w:lang w:val="en-US"/>
        </w:rPr>
        <w:tab/>
      </w:r>
      <w:r w:rsidRPr="008D4DFC">
        <w:rPr>
          <w:lang w:val="en-US"/>
        </w:rPr>
        <w:t xml:space="preserve"> </w:t>
      </w:r>
      <w:r>
        <w:rPr>
          <w:lang w:val="en-US"/>
        </w:rPr>
        <w:t>■</w:t>
      </w:r>
    </w:p>
    <w:p w:rsidR="00D9026F" w:rsidRPr="009C4D7C" w:rsidRDefault="00D9026F" w:rsidP="002B19E2">
      <w:pPr>
        <w:spacing w:before="240" w:after="120"/>
        <w:jc w:val="both"/>
        <w:rPr>
          <w:b/>
          <w:lang w:val="en-US"/>
        </w:rPr>
      </w:pPr>
      <w:r w:rsidRPr="009C4D7C">
        <w:rPr>
          <w:b/>
          <w:lang w:val="en-US"/>
        </w:rPr>
        <w:t>A.2 Proposition 2</w:t>
      </w:r>
    </w:p>
    <w:p w:rsidR="00D9026F" w:rsidRDefault="00D9026F" w:rsidP="009C4D7C">
      <w:pPr>
        <w:jc w:val="both"/>
        <w:rPr>
          <w:lang w:val="en-US"/>
        </w:rPr>
      </w:pPr>
      <w:r>
        <w:rPr>
          <w:lang w:val="en-US"/>
        </w:rPr>
        <w:t>First we state:</w:t>
      </w:r>
    </w:p>
    <w:p w:rsidR="00D9026F" w:rsidRDefault="00D9026F" w:rsidP="009C4D7C">
      <w:pPr>
        <w:jc w:val="both"/>
        <w:rPr>
          <w:lang w:val="en-US"/>
        </w:rPr>
      </w:pPr>
    </w:p>
    <w:p w:rsidR="00D9026F" w:rsidRPr="006C0B08" w:rsidRDefault="00D9026F" w:rsidP="009C4D7C">
      <w:pPr>
        <w:jc w:val="both"/>
        <w:rPr>
          <w:bCs/>
          <w:u w:val="single"/>
          <w:lang w:val="en-US"/>
        </w:rPr>
      </w:pPr>
      <w:r w:rsidRPr="00080517">
        <w:rPr>
          <w:bCs/>
          <w:u w:val="single"/>
          <w:lang w:val="en-US"/>
        </w:rPr>
        <w:t>Lemma 1</w:t>
      </w:r>
      <w:r>
        <w:rPr>
          <w:bCs/>
          <w:u w:val="single"/>
          <w:lang w:val="en-US"/>
        </w:rPr>
        <w:t>:</w:t>
      </w:r>
    </w:p>
    <w:p w:rsidR="00D9026F" w:rsidRDefault="00D9026F" w:rsidP="009C4D7C">
      <w:pPr>
        <w:jc w:val="both"/>
        <w:rPr>
          <w:i/>
          <w:lang w:val="en-US"/>
        </w:rPr>
      </w:pPr>
      <w:r w:rsidRPr="008D4DFC">
        <w:rPr>
          <w:i/>
          <w:lang w:val="en-US"/>
        </w:rPr>
        <w:t xml:space="preserve">Consider n countries </w:t>
      </w:r>
      <w:r>
        <w:rPr>
          <w:i/>
          <w:lang w:val="en-US"/>
        </w:rPr>
        <w:t>in</w:t>
      </w:r>
      <w:r w:rsidRPr="008D4DFC">
        <w:rPr>
          <w:i/>
          <w:lang w:val="en-US"/>
        </w:rPr>
        <w:t xml:space="preserve"> a common trading scheme that covers a subset of all sectors. Assume that countries freely decide on their permit allocation, and play Nash in the allocation game. </w:t>
      </w:r>
      <w:r>
        <w:rPr>
          <w:i/>
          <w:lang w:val="en-US"/>
        </w:rPr>
        <w:t>Let P be the international permit price and P</w:t>
      </w:r>
      <w:r w:rsidRPr="009A67E8">
        <w:rPr>
          <w:i/>
          <w:vertAlign w:val="subscript"/>
          <w:lang w:val="en-US"/>
        </w:rPr>
        <w:t>i</w:t>
      </w:r>
      <w:r w:rsidRPr="009A67E8">
        <w:rPr>
          <w:i/>
          <w:vertAlign w:val="superscript"/>
          <w:lang w:val="en-US"/>
        </w:rPr>
        <w:t>NTR</w:t>
      </w:r>
      <w:r>
        <w:rPr>
          <w:i/>
          <w:lang w:val="en-US"/>
        </w:rPr>
        <w:t xml:space="preserve"> be country i’s marginal costs without international emission trading. Then P</w:t>
      </w:r>
      <w:r w:rsidRPr="009A67E8">
        <w:rPr>
          <w:i/>
          <w:vertAlign w:val="subscript"/>
          <w:lang w:val="en-US"/>
        </w:rPr>
        <w:t>i</w:t>
      </w:r>
      <w:r w:rsidRPr="009A67E8">
        <w:rPr>
          <w:i/>
          <w:vertAlign w:val="superscript"/>
          <w:lang w:val="en-US"/>
        </w:rPr>
        <w:t>NTR</w:t>
      </w:r>
      <w:r>
        <w:rPr>
          <w:i/>
          <w:lang w:val="en-US"/>
        </w:rPr>
        <w:t xml:space="preserve"> &lt; P for every country i that is selling permits, and P</w:t>
      </w:r>
      <w:r>
        <w:rPr>
          <w:i/>
          <w:vertAlign w:val="subscript"/>
          <w:lang w:val="en-US"/>
        </w:rPr>
        <w:t>j</w:t>
      </w:r>
      <w:r w:rsidRPr="009A67E8">
        <w:rPr>
          <w:i/>
          <w:vertAlign w:val="superscript"/>
          <w:lang w:val="en-US"/>
        </w:rPr>
        <w:t>NTR</w:t>
      </w:r>
      <w:r>
        <w:rPr>
          <w:i/>
          <w:lang w:val="en-US"/>
        </w:rPr>
        <w:t xml:space="preserve"> &gt; P for every country j that is buying permits.</w:t>
      </w:r>
    </w:p>
    <w:p w:rsidR="00D9026F" w:rsidRDefault="00D9026F" w:rsidP="009C4D7C">
      <w:pPr>
        <w:jc w:val="both"/>
        <w:rPr>
          <w:i/>
          <w:lang w:val="en-US"/>
        </w:rPr>
      </w:pPr>
    </w:p>
    <w:p w:rsidR="00D9026F" w:rsidRPr="006C0B08" w:rsidRDefault="00D9026F" w:rsidP="009C4D7C">
      <w:pPr>
        <w:jc w:val="both"/>
        <w:rPr>
          <w:bCs/>
          <w:u w:val="single"/>
          <w:lang w:val="en-US"/>
        </w:rPr>
      </w:pPr>
      <w:r w:rsidRPr="00080517">
        <w:rPr>
          <w:bCs/>
          <w:u w:val="single"/>
          <w:lang w:val="en-US"/>
        </w:rPr>
        <w:t>Proof:</w:t>
      </w:r>
    </w:p>
    <w:p w:rsidR="00D9026F" w:rsidRDefault="00D9026F" w:rsidP="009C4D7C">
      <w:pPr>
        <w:jc w:val="both"/>
        <w:rPr>
          <w:lang w:val="en-US"/>
        </w:rPr>
      </w:pPr>
      <w:r>
        <w:rPr>
          <w:lang w:val="en-US"/>
        </w:rPr>
        <w:t xml:space="preserve">Consider a selling country </w:t>
      </w:r>
      <w:r w:rsidRPr="009939D3">
        <w:rPr>
          <w:i/>
          <w:lang w:val="en-US"/>
        </w:rPr>
        <w:t>i</w:t>
      </w:r>
      <w:r>
        <w:rPr>
          <w:lang w:val="en-US"/>
        </w:rPr>
        <w:t xml:space="preserve"> that has </w:t>
      </w:r>
      <w:r w:rsidRPr="009939D3">
        <w:rPr>
          <w:i/>
          <w:lang w:val="en-US"/>
        </w:rPr>
        <w:t>e</w:t>
      </w:r>
      <w:r w:rsidRPr="009939D3">
        <w:rPr>
          <w:i/>
          <w:vertAlign w:val="subscript"/>
          <w:lang w:val="en-US"/>
        </w:rPr>
        <w:t>i,T</w:t>
      </w:r>
      <w:r>
        <w:rPr>
          <w:lang w:val="en-US"/>
        </w:rPr>
        <w:t xml:space="preserve"> &lt; </w:t>
      </w:r>
      <w:r w:rsidRPr="009939D3">
        <w:rPr>
          <w:i/>
          <w:lang w:val="en-US"/>
        </w:rPr>
        <w:t>q</w:t>
      </w:r>
      <w:r w:rsidRPr="009939D3">
        <w:rPr>
          <w:i/>
          <w:vertAlign w:val="subscript"/>
          <w:lang w:val="en-US"/>
        </w:rPr>
        <w:t>i</w:t>
      </w:r>
      <w:r>
        <w:rPr>
          <w:lang w:val="en-US"/>
        </w:rPr>
        <w:t>. For this country, from (3) and (7):</w:t>
      </w:r>
    </w:p>
    <w:p w:rsidR="00D9026F" w:rsidRPr="008D4DFC" w:rsidRDefault="00D9026F" w:rsidP="00884933">
      <w:pPr>
        <w:pStyle w:val="Ligning"/>
        <w:rPr>
          <w:lang w:val="en-US"/>
        </w:rPr>
      </w:pPr>
      <w:r w:rsidRPr="008D4DFC">
        <w:rPr>
          <w:position w:val="-16"/>
          <w:lang w:val="en-US"/>
        </w:rPr>
        <w:object w:dxaOrig="3500" w:dyaOrig="440">
          <v:shape id="_x0000_i1100" type="#_x0000_t75" style="width:148.75pt;height:21.75pt" o:ole="">
            <v:imagedata r:id="rId112" o:title=""/>
          </v:shape>
          <o:OLEObject Type="Embed" ProgID="Equation.DSMT4" ShapeID="_x0000_i1100" DrawAspect="Content" ObjectID="_1514967688" r:id="rId113"/>
        </w:object>
      </w:r>
      <w:r w:rsidRPr="00CA26CB">
        <w:rPr>
          <w:lang w:val="en-US"/>
        </w:rPr>
        <w:fldChar w:fldCharType="begin"/>
      </w:r>
      <w:r w:rsidRPr="00CA26CB">
        <w:rPr>
          <w:lang w:val="en-US"/>
        </w:rPr>
        <w:instrText xml:space="preserve"> QUOTE </w:instrText>
      </w:r>
      <m:oMath>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i,NT</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i,NT</m:t>
                </m:r>
              </m:sub>
            </m:sSub>
          </m:e>
        </m:d>
        <m:r>
          <w:rPr>
            <w:rFonts w:ascii="Cambria Math" w:hAnsi="Cambria Math"/>
            <w:lang w:val="en-US"/>
          </w:rPr>
          <m:t>&lt;P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T</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i,T</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i,T</m:t>
                </m:r>
              </m:sub>
            </m:sSub>
          </m:e>
        </m:d>
      </m:oMath>
      <w:r w:rsidRPr="00CA26CB">
        <w:rPr>
          <w:lang w:val="en-US"/>
        </w:rPr>
        <w:instrText xml:space="preserve"> </w:instrText>
      </w:r>
      <w:r w:rsidRPr="00CA26CB">
        <w:rPr>
          <w:lang w:val="en-US"/>
        </w:rPr>
        <w:fldChar w:fldCharType="end"/>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(A.2)</w:t>
      </w:r>
    </w:p>
    <w:p w:rsidR="00D9026F" w:rsidRPr="006E4EA7" w:rsidRDefault="00D9026F" w:rsidP="009C4D7C">
      <w:pPr>
        <w:jc w:val="both"/>
        <w:rPr>
          <w:lang w:val="en-GB"/>
        </w:rPr>
      </w:pPr>
      <w:r w:rsidRPr="006E4EA7">
        <w:rPr>
          <w:lang w:val="en-GB"/>
        </w:rPr>
        <w:t xml:space="preserve">By </w:t>
      </w:r>
      <w:r w:rsidRPr="006E4EA7">
        <w:rPr>
          <w:i/>
          <w:lang w:val="en-GB"/>
        </w:rPr>
        <w:t>MC’</w:t>
      </w:r>
      <w:r w:rsidRPr="006E4EA7">
        <w:rPr>
          <w:i/>
          <w:vertAlign w:val="subscript"/>
          <w:lang w:val="en-GB"/>
        </w:rPr>
        <w:t>i,T</w:t>
      </w:r>
      <w:r w:rsidRPr="006E4EA7">
        <w:rPr>
          <w:lang w:val="en-GB"/>
        </w:rPr>
        <w:t xml:space="preserve"> &lt; 0, </w:t>
      </w:r>
      <w:r w:rsidRPr="006E4EA7">
        <w:rPr>
          <w:i/>
          <w:lang w:val="en-GB"/>
        </w:rPr>
        <w:t>e</w:t>
      </w:r>
      <w:r w:rsidRPr="006E4EA7">
        <w:rPr>
          <w:i/>
          <w:vertAlign w:val="subscript"/>
          <w:lang w:val="en-GB"/>
        </w:rPr>
        <w:t>i,T</w:t>
      </w:r>
      <w:r w:rsidRPr="006E4EA7">
        <w:rPr>
          <w:lang w:val="en-GB"/>
        </w:rPr>
        <w:t xml:space="preserve"> &lt; </w:t>
      </w:r>
      <w:r w:rsidRPr="006E4EA7">
        <w:rPr>
          <w:i/>
          <w:lang w:val="en-GB"/>
        </w:rPr>
        <w:t>q</w:t>
      </w:r>
      <w:r w:rsidRPr="006E4EA7">
        <w:rPr>
          <w:i/>
          <w:vertAlign w:val="subscript"/>
          <w:lang w:val="en-GB"/>
        </w:rPr>
        <w:t>i</w:t>
      </w:r>
      <w:r w:rsidRPr="006E4EA7">
        <w:rPr>
          <w:lang w:val="en-GB"/>
        </w:rPr>
        <w:t xml:space="preserve"> also implies</w:t>
      </w:r>
    </w:p>
    <w:p w:rsidR="00D9026F" w:rsidRPr="006E4EA7" w:rsidRDefault="00D9026F" w:rsidP="00884933">
      <w:pPr>
        <w:pStyle w:val="Ligning"/>
        <w:rPr>
          <w:lang w:val="en-GB"/>
        </w:rPr>
      </w:pPr>
      <w:r w:rsidRPr="008D4DFC">
        <w:rPr>
          <w:position w:val="-16"/>
          <w:lang w:val="en-US"/>
        </w:rPr>
        <w:object w:dxaOrig="2420" w:dyaOrig="440">
          <v:shape id="_x0000_i1102" type="#_x0000_t75" style="width:102.55pt;height:21.75pt" o:ole="">
            <v:imagedata r:id="rId114" o:title=""/>
          </v:shape>
          <o:OLEObject Type="Embed" ProgID="Equation.DSMT4" ShapeID="_x0000_i1102" DrawAspect="Content" ObjectID="_1514967689" r:id="rId115"/>
        </w:object>
      </w:r>
      <w:r w:rsidRPr="00CA26CB">
        <w:rPr>
          <w:lang w:val="en-GB"/>
        </w:rPr>
        <w:fldChar w:fldCharType="begin"/>
      </w:r>
      <w:r w:rsidRPr="00CA26CB">
        <w:rPr>
          <w:lang w:val="en-GB"/>
        </w:rPr>
        <w:instrText xml:space="preserve"> QUOTE </w:instrText>
      </w:r>
      <m:oMath>
        <m:sSub>
          <m:sSubPr>
            <m:ctrlPr>
              <w:rPr>
                <w:rFonts w:ascii="Cambria Math" w:hAnsi="Cambria Math"/>
                <w:i/>
                <w:lang w:val="de-CH"/>
              </w:rPr>
            </m:ctrlPr>
          </m:sSubPr>
          <m:e>
            <m:r>
              <w:rPr>
                <w:rFonts w:ascii="Cambria Math" w:hAnsi="Cambria Math"/>
                <w:lang w:val="de-CH"/>
              </w:rPr>
              <m:t>MC</m:t>
            </m:r>
          </m:e>
          <m:sub>
            <m:r>
              <w:rPr>
                <w:rFonts w:ascii="Cambria Math" w:hAnsi="Cambria Math"/>
                <w:lang w:val="de-CH"/>
              </w:rPr>
              <m:t>i</m:t>
            </m:r>
            <m:r>
              <w:rPr>
                <w:rFonts w:ascii="Cambria Math" w:hAnsi="Cambria Math"/>
                <w:lang w:val="en-GB"/>
              </w:rPr>
              <m:t>,</m:t>
            </m:r>
            <m:r>
              <w:rPr>
                <w:rFonts w:ascii="Cambria Math" w:hAnsi="Cambria Math"/>
                <w:lang w:val="de-CH"/>
              </w:rPr>
              <m:t>T</m:t>
            </m:r>
          </m:sub>
        </m:sSub>
        <m:d>
          <m:dPr>
            <m:ctrlPr>
              <w:rPr>
                <w:rFonts w:ascii="Cambria Math" w:hAnsi="Cambria Math"/>
                <w:i/>
                <w:lang w:val="de-CH"/>
              </w:rPr>
            </m:ctrlPr>
          </m:dPr>
          <m:e>
            <m:sSub>
              <m:sSubPr>
                <m:ctrlPr>
                  <w:rPr>
                    <w:rFonts w:ascii="Cambria Math" w:hAnsi="Cambria Math"/>
                    <w:i/>
                    <w:lang w:val="de-CH"/>
                  </w:rPr>
                </m:ctrlPr>
              </m:sSubPr>
              <m:e>
                <m:r>
                  <w:rPr>
                    <w:rFonts w:ascii="Cambria Math" w:hAnsi="Cambria Math"/>
                    <w:lang w:val="de-CH"/>
                  </w:rPr>
                  <m:t>q</m:t>
                </m:r>
              </m:e>
              <m:sub>
                <m:r>
                  <w:rPr>
                    <w:rFonts w:ascii="Cambria Math" w:hAnsi="Cambria Math"/>
                    <w:lang w:val="de-CH"/>
                  </w:rPr>
                  <m:t>i</m:t>
                </m:r>
              </m:sub>
            </m:sSub>
          </m:e>
        </m:d>
        <m:r>
          <w:rPr>
            <w:rFonts w:ascii="Cambria Math" w:hAnsi="Cambria Math"/>
            <w:lang w:val="en-GB"/>
          </w:rPr>
          <m:t>&lt;</m:t>
        </m:r>
        <m:sSub>
          <m:sSubPr>
            <m:ctrlPr>
              <w:rPr>
                <w:rFonts w:ascii="Cambria Math" w:hAnsi="Cambria Math"/>
                <w:i/>
                <w:lang w:val="de-CH"/>
              </w:rPr>
            </m:ctrlPr>
          </m:sSubPr>
          <m:e>
            <m:r>
              <w:rPr>
                <w:rFonts w:ascii="Cambria Math" w:hAnsi="Cambria Math"/>
                <w:lang w:val="de-CH"/>
              </w:rPr>
              <m:t>MC</m:t>
            </m:r>
          </m:e>
          <m:sub>
            <m:r>
              <w:rPr>
                <w:rFonts w:ascii="Cambria Math" w:hAnsi="Cambria Math"/>
                <w:lang w:val="de-CH"/>
              </w:rPr>
              <m:t>i</m:t>
            </m:r>
            <m:r>
              <w:rPr>
                <w:rFonts w:ascii="Cambria Math" w:hAnsi="Cambria Math"/>
                <w:lang w:val="en-GB"/>
              </w:rPr>
              <m:t>,</m:t>
            </m:r>
            <m:r>
              <w:rPr>
                <w:rFonts w:ascii="Cambria Math" w:hAnsi="Cambria Math"/>
                <w:lang w:val="de-CH"/>
              </w:rPr>
              <m:t>T</m:t>
            </m:r>
          </m:sub>
        </m:sSub>
        <m:d>
          <m:dPr>
            <m:ctrlPr>
              <w:rPr>
                <w:rFonts w:ascii="Cambria Math" w:hAnsi="Cambria Math"/>
                <w:i/>
                <w:lang w:val="de-CH"/>
              </w:rPr>
            </m:ctrlPr>
          </m:dPr>
          <m:e>
            <m:sSub>
              <m:sSubPr>
                <m:ctrlPr>
                  <w:rPr>
                    <w:rFonts w:ascii="Cambria Math" w:hAnsi="Cambria Math"/>
                    <w:i/>
                    <w:lang w:val="de-CH"/>
                  </w:rPr>
                </m:ctrlPr>
              </m:sSubPr>
              <m:e>
                <m:r>
                  <w:rPr>
                    <w:rFonts w:ascii="Cambria Math" w:hAnsi="Cambria Math"/>
                    <w:lang w:val="de-CH"/>
                  </w:rPr>
                  <m:t>e</m:t>
                </m:r>
              </m:e>
              <m:sub>
                <m:r>
                  <w:rPr>
                    <w:rFonts w:ascii="Cambria Math" w:hAnsi="Cambria Math"/>
                    <w:lang w:val="de-CH"/>
                  </w:rPr>
                  <m:t>i</m:t>
                </m:r>
                <m:r>
                  <w:rPr>
                    <w:rFonts w:ascii="Cambria Math" w:hAnsi="Cambria Math"/>
                    <w:lang w:val="en-GB"/>
                  </w:rPr>
                  <m:t>,</m:t>
                </m:r>
                <m:r>
                  <w:rPr>
                    <w:rFonts w:ascii="Cambria Math" w:hAnsi="Cambria Math"/>
                    <w:lang w:val="de-CH"/>
                  </w:rPr>
                  <m:t>T</m:t>
                </m:r>
              </m:sub>
            </m:sSub>
          </m:e>
        </m:d>
      </m:oMath>
      <w:r w:rsidRPr="00CA26CB">
        <w:rPr>
          <w:lang w:val="en-GB"/>
        </w:rPr>
        <w:instrText xml:space="preserve"> </w:instrText>
      </w:r>
      <w:r w:rsidRPr="00CA26CB">
        <w:rPr>
          <w:lang w:val="en-GB"/>
        </w:rPr>
        <w:fldChar w:fldCharType="end"/>
      </w:r>
      <w:r w:rsidRPr="006E4EA7">
        <w:rPr>
          <w:lang w:val="en-GB"/>
        </w:rPr>
        <w:tab/>
      </w:r>
      <w:r w:rsidRPr="006E4EA7">
        <w:rPr>
          <w:lang w:val="en-GB"/>
        </w:rPr>
        <w:tab/>
      </w:r>
      <w:r w:rsidRPr="006E4EA7">
        <w:rPr>
          <w:lang w:val="en-GB"/>
        </w:rPr>
        <w:tab/>
      </w:r>
      <w:r w:rsidRPr="006E4EA7">
        <w:rPr>
          <w:lang w:val="en-GB"/>
        </w:rPr>
        <w:tab/>
      </w:r>
      <w:r>
        <w:rPr>
          <w:lang w:val="en-GB"/>
        </w:rPr>
        <w:tab/>
      </w:r>
      <w:r>
        <w:rPr>
          <w:lang w:val="en-GB"/>
        </w:rPr>
        <w:tab/>
      </w:r>
      <w:r>
        <w:rPr>
          <w:lang w:val="en-GB"/>
        </w:rPr>
        <w:tab/>
      </w:r>
      <w:r>
        <w:rPr>
          <w:lang w:val="en-GB"/>
        </w:rPr>
        <w:tab/>
      </w:r>
      <w:r>
        <w:rPr>
          <w:lang w:val="en-GB"/>
        </w:rPr>
        <w:tab/>
      </w:r>
      <w:r>
        <w:rPr>
          <w:lang w:val="en-GB"/>
        </w:rPr>
        <w:tab/>
        <w:t>(A.3)</w:t>
      </w:r>
    </w:p>
    <w:p w:rsidR="00D9026F" w:rsidRDefault="00D9026F" w:rsidP="009C4D7C">
      <w:pPr>
        <w:jc w:val="both"/>
        <w:rPr>
          <w:lang w:val="en-GB"/>
        </w:rPr>
      </w:pPr>
      <w:r w:rsidRPr="00EF38FE">
        <w:rPr>
          <w:lang w:val="en-GB"/>
        </w:rPr>
        <w:t xml:space="preserve">If </w:t>
      </w:r>
      <w:r w:rsidRPr="00FD0A4E">
        <w:rPr>
          <w:i/>
          <w:lang w:val="en-GB"/>
        </w:rPr>
        <w:t>MC</w:t>
      </w:r>
      <w:r w:rsidRPr="00FD0A4E">
        <w:rPr>
          <w:i/>
          <w:vertAlign w:val="subscript"/>
          <w:lang w:val="en-GB"/>
        </w:rPr>
        <w:t>i,T</w:t>
      </w:r>
      <w:r w:rsidRPr="00EF38FE">
        <w:rPr>
          <w:lang w:val="en-GB"/>
        </w:rPr>
        <w:t>(</w:t>
      </w:r>
      <w:r w:rsidRPr="00FD0A4E">
        <w:rPr>
          <w:i/>
          <w:lang w:val="en-GB"/>
        </w:rPr>
        <w:t>e</w:t>
      </w:r>
      <w:r w:rsidRPr="00FD0A4E">
        <w:rPr>
          <w:i/>
          <w:vertAlign w:val="subscript"/>
          <w:lang w:val="en-GB"/>
        </w:rPr>
        <w:t>i,T</w:t>
      </w:r>
      <w:r w:rsidRPr="00EF38FE">
        <w:rPr>
          <w:lang w:val="en-GB"/>
        </w:rPr>
        <w:t xml:space="preserve">) </w:t>
      </w:r>
      <w:r>
        <w:rPr>
          <w:lang w:val="en-GB"/>
        </w:rPr>
        <w:t>≤</w:t>
      </w:r>
      <w:r w:rsidRPr="00EF38FE">
        <w:rPr>
          <w:lang w:val="en-GB"/>
        </w:rPr>
        <w:t xml:space="preserve"> </w:t>
      </w:r>
      <w:r w:rsidRPr="00FD0A4E">
        <w:rPr>
          <w:i/>
          <w:lang w:val="en-GB"/>
        </w:rPr>
        <w:t>P</w:t>
      </w:r>
      <w:r w:rsidRPr="00FD0A4E">
        <w:rPr>
          <w:i/>
          <w:vertAlign w:val="subscript"/>
          <w:lang w:val="en-GB"/>
        </w:rPr>
        <w:t>i</w:t>
      </w:r>
      <w:r w:rsidRPr="00FD0A4E">
        <w:rPr>
          <w:i/>
          <w:vertAlign w:val="superscript"/>
          <w:lang w:val="en-GB"/>
        </w:rPr>
        <w:t>NTR</w:t>
      </w:r>
      <w:r w:rsidRPr="00EF38FE">
        <w:rPr>
          <w:lang w:val="en-GB"/>
        </w:rPr>
        <w:t xml:space="preserve"> as defined in (2), then </w:t>
      </w:r>
      <w:r w:rsidRPr="00FD0A4E">
        <w:rPr>
          <w:i/>
          <w:lang w:val="en-GB"/>
        </w:rPr>
        <w:t>MC</w:t>
      </w:r>
      <w:r w:rsidRPr="00FD0A4E">
        <w:rPr>
          <w:i/>
          <w:vertAlign w:val="subscript"/>
          <w:lang w:val="en-GB"/>
        </w:rPr>
        <w:t>i,T</w:t>
      </w:r>
      <w:r w:rsidRPr="00EF38FE">
        <w:rPr>
          <w:lang w:val="en-GB"/>
        </w:rPr>
        <w:t>(</w:t>
      </w:r>
      <w:r w:rsidRPr="00FD0A4E">
        <w:rPr>
          <w:i/>
          <w:lang w:val="en-GB"/>
        </w:rPr>
        <w:t>q</w:t>
      </w:r>
      <w:r w:rsidRPr="00FD0A4E">
        <w:rPr>
          <w:i/>
          <w:vertAlign w:val="subscript"/>
          <w:lang w:val="en-GB"/>
        </w:rPr>
        <w:t>i</w:t>
      </w:r>
      <w:r w:rsidRPr="00EF38FE">
        <w:rPr>
          <w:lang w:val="en-GB"/>
        </w:rPr>
        <w:t xml:space="preserve">) &lt; </w:t>
      </w:r>
      <w:r w:rsidRPr="00FD0A4E">
        <w:rPr>
          <w:i/>
          <w:lang w:val="en-GB"/>
        </w:rPr>
        <w:t>P</w:t>
      </w:r>
      <w:r w:rsidRPr="00FD0A4E">
        <w:rPr>
          <w:i/>
          <w:vertAlign w:val="subscript"/>
          <w:lang w:val="en-GB"/>
        </w:rPr>
        <w:t>i</w:t>
      </w:r>
      <w:r w:rsidRPr="00FD0A4E">
        <w:rPr>
          <w:i/>
          <w:vertAlign w:val="superscript"/>
          <w:lang w:val="en-GB"/>
        </w:rPr>
        <w:t>NTR</w:t>
      </w:r>
      <w:r w:rsidRPr="00EF38FE">
        <w:rPr>
          <w:lang w:val="en-GB"/>
        </w:rPr>
        <w:t xml:space="preserve"> by </w:t>
      </w:r>
      <w:r>
        <w:rPr>
          <w:lang w:val="en-GB"/>
        </w:rPr>
        <w:t>(A.3)</w:t>
      </w:r>
      <w:r w:rsidRPr="00EF38FE">
        <w:rPr>
          <w:lang w:val="en-GB"/>
        </w:rPr>
        <w:t xml:space="preserve">. </w:t>
      </w:r>
      <w:r w:rsidRPr="00D0516C">
        <w:rPr>
          <w:lang w:val="en-GB"/>
        </w:rPr>
        <w:t xml:space="preserve">By </w:t>
      </w:r>
      <w:r w:rsidRPr="00FD0A4E">
        <w:rPr>
          <w:i/>
          <w:lang w:val="en-GB"/>
        </w:rPr>
        <w:t>MC’</w:t>
      </w:r>
      <w:r w:rsidRPr="00FD0A4E">
        <w:rPr>
          <w:i/>
          <w:vertAlign w:val="subscript"/>
          <w:lang w:val="en-GB"/>
        </w:rPr>
        <w:t>i,T</w:t>
      </w:r>
      <w:r w:rsidRPr="00D0516C">
        <w:rPr>
          <w:lang w:val="en-GB"/>
        </w:rPr>
        <w:t xml:space="preserve"> &lt; 0 </w:t>
      </w:r>
      <w:r>
        <w:rPr>
          <w:lang w:val="en-GB"/>
        </w:rPr>
        <w:t xml:space="preserve">and (2) </w:t>
      </w:r>
      <w:r w:rsidRPr="00D0516C">
        <w:rPr>
          <w:lang w:val="en-GB"/>
        </w:rPr>
        <w:t>this implies that</w:t>
      </w:r>
    </w:p>
    <w:p w:rsidR="00D9026F" w:rsidRDefault="00D9026F" w:rsidP="00884933">
      <w:pPr>
        <w:pStyle w:val="Ligning"/>
        <w:rPr>
          <w:lang w:val="en-GB"/>
        </w:rPr>
      </w:pPr>
      <w:r w:rsidRPr="00884933">
        <w:rPr>
          <w:position w:val="-14"/>
          <w:lang w:val="en-US"/>
        </w:rPr>
        <w:object w:dxaOrig="980" w:dyaOrig="400">
          <v:shape id="_x0000_i1104" type="#_x0000_t75" style="width:42.1pt;height:19.7pt" o:ole="">
            <v:imagedata r:id="rId116" o:title=""/>
          </v:shape>
          <o:OLEObject Type="Embed" ProgID="Equation.DSMT4" ShapeID="_x0000_i1104" DrawAspect="Content" ObjectID="_1514967690" r:id="rId117"/>
        </w:objec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(A.4)</w:t>
      </w:r>
    </w:p>
    <w:p w:rsidR="00D9026F" w:rsidRDefault="00D9026F" w:rsidP="009C4D7C">
      <w:pPr>
        <w:jc w:val="both"/>
        <w:rPr>
          <w:lang w:val="en-GB"/>
        </w:rPr>
      </w:pPr>
      <w:r>
        <w:rPr>
          <w:lang w:val="en-GB"/>
        </w:rPr>
        <w:t xml:space="preserve">Combined with </w:t>
      </w:r>
      <w:r w:rsidRPr="00FD0A4E">
        <w:rPr>
          <w:i/>
          <w:lang w:val="en-GB"/>
        </w:rPr>
        <w:t>q</w:t>
      </w:r>
      <w:r w:rsidRPr="00FD0A4E">
        <w:rPr>
          <w:i/>
          <w:vertAlign w:val="subscript"/>
          <w:lang w:val="en-GB"/>
        </w:rPr>
        <w:t>i</w:t>
      </w:r>
      <w:r>
        <w:rPr>
          <w:lang w:val="en-GB"/>
        </w:rPr>
        <w:t xml:space="preserve"> + </w:t>
      </w:r>
      <w:r w:rsidRPr="00FD0A4E">
        <w:rPr>
          <w:i/>
          <w:lang w:val="en-GB"/>
        </w:rPr>
        <w:t>e</w:t>
      </w:r>
      <w:r w:rsidRPr="00FD0A4E">
        <w:rPr>
          <w:i/>
          <w:vertAlign w:val="subscript"/>
          <w:lang w:val="en-GB"/>
        </w:rPr>
        <w:t>i,NT</w:t>
      </w:r>
      <w:r>
        <w:rPr>
          <w:lang w:val="en-GB"/>
        </w:rPr>
        <w:t xml:space="preserve"> = </w:t>
      </w:r>
      <w:r w:rsidRPr="00FD0A4E">
        <w:rPr>
          <w:i/>
          <w:lang w:val="en-GB"/>
        </w:rPr>
        <w:t>e</w:t>
      </w:r>
      <w:r w:rsidRPr="00FD0A4E">
        <w:rPr>
          <w:i/>
          <w:vertAlign w:val="subscript"/>
          <w:lang w:val="en-GB"/>
        </w:rPr>
        <w:t>i,T</w:t>
      </w:r>
      <w:r w:rsidRPr="00FD0A4E">
        <w:rPr>
          <w:i/>
          <w:vertAlign w:val="superscript"/>
          <w:lang w:val="en-GB"/>
        </w:rPr>
        <w:t>NTR</w:t>
      </w:r>
      <w:r>
        <w:rPr>
          <w:lang w:val="en-GB"/>
        </w:rPr>
        <w:t xml:space="preserve"> + </w:t>
      </w:r>
      <w:r w:rsidRPr="00FD0A4E">
        <w:rPr>
          <w:i/>
          <w:lang w:val="en-GB"/>
        </w:rPr>
        <w:t>e</w:t>
      </w:r>
      <w:r w:rsidRPr="00FD0A4E">
        <w:rPr>
          <w:i/>
          <w:vertAlign w:val="subscript"/>
          <w:lang w:val="en-GB"/>
        </w:rPr>
        <w:t>i,NT</w:t>
      </w:r>
      <w:r w:rsidRPr="00FD0A4E">
        <w:rPr>
          <w:i/>
          <w:vertAlign w:val="superscript"/>
          <w:lang w:val="en-GB"/>
        </w:rPr>
        <w:t>NTR</w:t>
      </w:r>
      <w:r>
        <w:rPr>
          <w:lang w:val="en-GB"/>
        </w:rPr>
        <w:t xml:space="preserve"> = </w:t>
      </w:r>
      <w:r w:rsidRPr="00FD0A4E">
        <w:rPr>
          <w:i/>
          <w:lang w:val="en-GB"/>
        </w:rPr>
        <w:t>E</w:t>
      </w:r>
      <w:r w:rsidRPr="00FD0A4E">
        <w:rPr>
          <w:i/>
          <w:vertAlign w:val="subscript"/>
          <w:lang w:val="en-GB"/>
        </w:rPr>
        <w:t>i</w:t>
      </w:r>
      <w:r>
        <w:rPr>
          <w:lang w:val="en-GB"/>
        </w:rPr>
        <w:t xml:space="preserve">, (A.4) implies </w:t>
      </w:r>
      <w:r w:rsidRPr="00FD0A4E">
        <w:rPr>
          <w:i/>
          <w:lang w:val="en-GB"/>
        </w:rPr>
        <w:t>e</w:t>
      </w:r>
      <w:r w:rsidRPr="00FD0A4E">
        <w:rPr>
          <w:i/>
          <w:vertAlign w:val="subscript"/>
          <w:lang w:val="en-GB"/>
        </w:rPr>
        <w:t>i,NT</w:t>
      </w:r>
      <w:r>
        <w:rPr>
          <w:lang w:val="en-GB"/>
        </w:rPr>
        <w:t xml:space="preserve"> &lt; </w:t>
      </w:r>
      <w:r w:rsidRPr="00FD0A4E">
        <w:rPr>
          <w:i/>
          <w:lang w:val="en-GB"/>
        </w:rPr>
        <w:t>e</w:t>
      </w:r>
      <w:r w:rsidRPr="00FD0A4E">
        <w:rPr>
          <w:i/>
          <w:vertAlign w:val="subscript"/>
          <w:lang w:val="en-GB"/>
        </w:rPr>
        <w:t>i,NT</w:t>
      </w:r>
      <w:r w:rsidRPr="00FD0A4E">
        <w:rPr>
          <w:i/>
          <w:vertAlign w:val="superscript"/>
          <w:lang w:val="en-GB"/>
        </w:rPr>
        <w:t>NTR</w:t>
      </w:r>
      <w:r>
        <w:rPr>
          <w:lang w:val="en-GB"/>
        </w:rPr>
        <w:t xml:space="preserve"> which by </w:t>
      </w:r>
      <w:r w:rsidRPr="00FD0A4E">
        <w:rPr>
          <w:i/>
          <w:lang w:val="en-GB"/>
        </w:rPr>
        <w:t>MC’</w:t>
      </w:r>
      <w:r w:rsidRPr="00FD0A4E">
        <w:rPr>
          <w:i/>
          <w:vertAlign w:val="subscript"/>
          <w:lang w:val="en-GB"/>
        </w:rPr>
        <w:t>i,NT</w:t>
      </w:r>
      <w:r>
        <w:rPr>
          <w:lang w:val="en-GB"/>
        </w:rPr>
        <w:t>(</w:t>
      </w:r>
      <w:r w:rsidRPr="00FD0A4E">
        <w:rPr>
          <w:i/>
          <w:lang w:val="en-GB"/>
        </w:rPr>
        <w:t>e</w:t>
      </w:r>
      <w:r w:rsidRPr="00FD0A4E">
        <w:rPr>
          <w:i/>
          <w:vertAlign w:val="subscript"/>
          <w:lang w:val="en-GB"/>
        </w:rPr>
        <w:t>i,NT</w:t>
      </w:r>
      <w:r>
        <w:rPr>
          <w:lang w:val="en-GB"/>
        </w:rPr>
        <w:t xml:space="preserve">) &lt; 0 and (2) means </w:t>
      </w:r>
      <w:r w:rsidRPr="00FD0A4E">
        <w:rPr>
          <w:i/>
          <w:lang w:val="en-GB"/>
        </w:rPr>
        <w:t>MC</w:t>
      </w:r>
      <w:r w:rsidRPr="00FD0A4E">
        <w:rPr>
          <w:i/>
          <w:vertAlign w:val="subscript"/>
          <w:lang w:val="en-GB"/>
        </w:rPr>
        <w:t>i,NT</w:t>
      </w:r>
      <w:r>
        <w:rPr>
          <w:lang w:val="en-GB"/>
        </w:rPr>
        <w:t>(</w:t>
      </w:r>
      <w:r w:rsidRPr="00FD0A4E">
        <w:rPr>
          <w:i/>
          <w:lang w:val="en-GB"/>
        </w:rPr>
        <w:t>e</w:t>
      </w:r>
      <w:r w:rsidRPr="00FD0A4E">
        <w:rPr>
          <w:i/>
          <w:vertAlign w:val="subscript"/>
          <w:lang w:val="en-GB"/>
        </w:rPr>
        <w:t>i,NT</w:t>
      </w:r>
      <w:r>
        <w:rPr>
          <w:lang w:val="en-GB"/>
        </w:rPr>
        <w:t xml:space="preserve">) &gt; </w:t>
      </w:r>
      <w:r w:rsidRPr="00FD0A4E">
        <w:rPr>
          <w:i/>
          <w:lang w:val="en-GB"/>
        </w:rPr>
        <w:t>MC</w:t>
      </w:r>
      <w:r w:rsidRPr="00FD0A4E">
        <w:rPr>
          <w:i/>
          <w:vertAlign w:val="subscript"/>
          <w:lang w:val="en-GB"/>
        </w:rPr>
        <w:t>i,NT</w:t>
      </w:r>
      <w:r>
        <w:rPr>
          <w:lang w:val="en-GB"/>
        </w:rPr>
        <w:t>(</w:t>
      </w:r>
      <w:r w:rsidRPr="00FD0A4E">
        <w:rPr>
          <w:i/>
          <w:lang w:val="en-GB"/>
        </w:rPr>
        <w:t>e</w:t>
      </w:r>
      <w:r w:rsidRPr="00FD0A4E">
        <w:rPr>
          <w:i/>
          <w:vertAlign w:val="subscript"/>
          <w:lang w:val="en-GB"/>
        </w:rPr>
        <w:t>i,NT</w:t>
      </w:r>
      <w:r w:rsidRPr="00FD0A4E">
        <w:rPr>
          <w:i/>
          <w:vertAlign w:val="superscript"/>
          <w:lang w:val="en-GB"/>
        </w:rPr>
        <w:t>NTR</w:t>
      </w:r>
      <w:r>
        <w:rPr>
          <w:lang w:val="en-GB"/>
        </w:rPr>
        <w:t xml:space="preserve">) = </w:t>
      </w:r>
      <w:r w:rsidRPr="00FD0A4E">
        <w:rPr>
          <w:i/>
          <w:lang w:val="en-GB"/>
        </w:rPr>
        <w:t>P</w:t>
      </w:r>
      <w:r w:rsidRPr="00FD0A4E">
        <w:rPr>
          <w:i/>
          <w:vertAlign w:val="subscript"/>
          <w:lang w:val="en-GB"/>
        </w:rPr>
        <w:t>i</w:t>
      </w:r>
      <w:r w:rsidRPr="00FD0A4E">
        <w:rPr>
          <w:i/>
          <w:vertAlign w:val="superscript"/>
          <w:lang w:val="en-GB"/>
        </w:rPr>
        <w:t>NTR</w:t>
      </w:r>
      <w:r>
        <w:rPr>
          <w:lang w:val="en-GB"/>
        </w:rPr>
        <w:t xml:space="preserve">. This inequality, combined with </w:t>
      </w:r>
      <w:r w:rsidRPr="00FD0A4E">
        <w:rPr>
          <w:i/>
          <w:lang w:val="en-GB"/>
        </w:rPr>
        <w:t>P</w:t>
      </w:r>
      <w:r w:rsidRPr="00FD0A4E">
        <w:rPr>
          <w:i/>
          <w:vertAlign w:val="subscript"/>
          <w:lang w:val="en-GB"/>
        </w:rPr>
        <w:t>i</w:t>
      </w:r>
      <w:r w:rsidRPr="00FD0A4E">
        <w:rPr>
          <w:i/>
          <w:vertAlign w:val="superscript"/>
          <w:lang w:val="en-GB"/>
        </w:rPr>
        <w:t>NTR</w:t>
      </w:r>
      <w:r w:rsidRPr="00EF38FE">
        <w:rPr>
          <w:lang w:val="en-GB"/>
        </w:rPr>
        <w:t xml:space="preserve"> </w:t>
      </w:r>
      <w:r>
        <w:rPr>
          <w:lang w:val="en-GB"/>
        </w:rPr>
        <w:t xml:space="preserve">≥ </w:t>
      </w:r>
      <w:r w:rsidRPr="00FD0A4E">
        <w:rPr>
          <w:i/>
          <w:lang w:val="en-GB"/>
        </w:rPr>
        <w:t>MC</w:t>
      </w:r>
      <w:r w:rsidRPr="00FD0A4E">
        <w:rPr>
          <w:i/>
          <w:vertAlign w:val="subscript"/>
          <w:lang w:val="en-GB"/>
        </w:rPr>
        <w:t>i,T</w:t>
      </w:r>
      <w:r w:rsidRPr="00EF38FE">
        <w:rPr>
          <w:lang w:val="en-GB"/>
        </w:rPr>
        <w:t>(</w:t>
      </w:r>
      <w:r w:rsidRPr="00FD0A4E">
        <w:rPr>
          <w:i/>
          <w:lang w:val="en-GB"/>
        </w:rPr>
        <w:t>e</w:t>
      </w:r>
      <w:r w:rsidRPr="00FD0A4E">
        <w:rPr>
          <w:i/>
          <w:vertAlign w:val="subscript"/>
          <w:lang w:val="en-GB"/>
        </w:rPr>
        <w:t>i,T</w:t>
      </w:r>
      <w:r w:rsidRPr="00EF38FE">
        <w:rPr>
          <w:lang w:val="en-GB"/>
        </w:rPr>
        <w:t>)</w:t>
      </w:r>
      <w:r>
        <w:rPr>
          <w:lang w:val="en-GB"/>
        </w:rPr>
        <w:t xml:space="preserve"> implies </w:t>
      </w:r>
      <w:r w:rsidRPr="00FD0A4E">
        <w:rPr>
          <w:i/>
          <w:lang w:val="en-GB"/>
        </w:rPr>
        <w:t>MC</w:t>
      </w:r>
      <w:r w:rsidRPr="00FD0A4E">
        <w:rPr>
          <w:i/>
          <w:vertAlign w:val="subscript"/>
          <w:lang w:val="en-GB"/>
        </w:rPr>
        <w:t>i,NT</w:t>
      </w:r>
      <w:r>
        <w:rPr>
          <w:lang w:val="en-GB"/>
        </w:rPr>
        <w:t>(</w:t>
      </w:r>
      <w:r w:rsidRPr="00FD0A4E">
        <w:rPr>
          <w:i/>
          <w:lang w:val="en-GB"/>
        </w:rPr>
        <w:t>e</w:t>
      </w:r>
      <w:r w:rsidRPr="00FD0A4E">
        <w:rPr>
          <w:i/>
          <w:vertAlign w:val="subscript"/>
          <w:lang w:val="en-GB"/>
        </w:rPr>
        <w:t>i,NT</w:t>
      </w:r>
      <w:r>
        <w:rPr>
          <w:lang w:val="en-GB"/>
        </w:rPr>
        <w:t xml:space="preserve">) &gt; </w:t>
      </w:r>
      <w:r w:rsidRPr="00FD0A4E">
        <w:rPr>
          <w:i/>
          <w:lang w:val="en-GB"/>
        </w:rPr>
        <w:t>MC</w:t>
      </w:r>
      <w:r w:rsidRPr="00FD0A4E">
        <w:rPr>
          <w:i/>
          <w:vertAlign w:val="subscript"/>
          <w:lang w:val="en-GB"/>
        </w:rPr>
        <w:t>i,T</w:t>
      </w:r>
      <w:r w:rsidRPr="00EF38FE">
        <w:rPr>
          <w:lang w:val="en-GB"/>
        </w:rPr>
        <w:t>(</w:t>
      </w:r>
      <w:r w:rsidRPr="00FD0A4E">
        <w:rPr>
          <w:i/>
          <w:lang w:val="en-GB"/>
        </w:rPr>
        <w:t>e</w:t>
      </w:r>
      <w:r w:rsidRPr="00FD0A4E">
        <w:rPr>
          <w:i/>
          <w:vertAlign w:val="subscript"/>
          <w:lang w:val="en-GB"/>
        </w:rPr>
        <w:t>i,T</w:t>
      </w:r>
      <w:r w:rsidRPr="00EF38FE">
        <w:rPr>
          <w:lang w:val="en-GB"/>
        </w:rPr>
        <w:t>)</w:t>
      </w:r>
      <w:r>
        <w:rPr>
          <w:lang w:val="en-GB"/>
        </w:rPr>
        <w:t xml:space="preserve">, which contradicts (A.2). Thus we must have </w:t>
      </w:r>
      <w:r w:rsidRPr="00FD0A4E">
        <w:rPr>
          <w:i/>
          <w:lang w:val="en-GB"/>
        </w:rPr>
        <w:t>P</w:t>
      </w:r>
      <w:r w:rsidRPr="00FD0A4E">
        <w:rPr>
          <w:i/>
          <w:vertAlign w:val="subscript"/>
          <w:lang w:val="en-GB"/>
        </w:rPr>
        <w:t>i</w:t>
      </w:r>
      <w:r w:rsidRPr="00FD0A4E">
        <w:rPr>
          <w:i/>
          <w:vertAlign w:val="superscript"/>
          <w:lang w:val="en-GB"/>
        </w:rPr>
        <w:t>NTR</w:t>
      </w:r>
      <w:r w:rsidRPr="00EF38FE">
        <w:rPr>
          <w:lang w:val="en-GB"/>
        </w:rPr>
        <w:t xml:space="preserve"> </w:t>
      </w:r>
      <w:r>
        <w:rPr>
          <w:lang w:val="en-GB"/>
        </w:rPr>
        <w:t xml:space="preserve">&lt; </w:t>
      </w:r>
      <w:r w:rsidRPr="00FD0A4E">
        <w:rPr>
          <w:i/>
          <w:lang w:val="en-GB"/>
        </w:rPr>
        <w:t>MC</w:t>
      </w:r>
      <w:r w:rsidRPr="00FD0A4E">
        <w:rPr>
          <w:i/>
          <w:vertAlign w:val="subscript"/>
          <w:lang w:val="en-GB"/>
        </w:rPr>
        <w:t>i,T</w:t>
      </w:r>
      <w:r w:rsidRPr="00EF38FE">
        <w:rPr>
          <w:lang w:val="en-GB"/>
        </w:rPr>
        <w:t>(</w:t>
      </w:r>
      <w:r w:rsidRPr="00FD0A4E">
        <w:rPr>
          <w:i/>
          <w:lang w:val="en-GB"/>
        </w:rPr>
        <w:t>e</w:t>
      </w:r>
      <w:r w:rsidRPr="00FD0A4E">
        <w:rPr>
          <w:i/>
          <w:vertAlign w:val="subscript"/>
          <w:lang w:val="en-GB"/>
        </w:rPr>
        <w:t>i,T</w:t>
      </w:r>
      <w:r w:rsidRPr="00EF38FE">
        <w:rPr>
          <w:lang w:val="en-GB"/>
        </w:rPr>
        <w:t>)</w:t>
      </w:r>
      <w:r>
        <w:rPr>
          <w:lang w:val="en-GB"/>
        </w:rPr>
        <w:t xml:space="preserve"> = </w:t>
      </w:r>
      <w:r w:rsidRPr="00FD0A4E">
        <w:rPr>
          <w:i/>
          <w:lang w:val="en-GB"/>
        </w:rPr>
        <w:t>P</w:t>
      </w:r>
      <w:r>
        <w:rPr>
          <w:lang w:val="en-GB"/>
        </w:rPr>
        <w:t>.</w:t>
      </w:r>
    </w:p>
    <w:p w:rsidR="00D9026F" w:rsidRDefault="00D9026F" w:rsidP="009C4D7C">
      <w:pPr>
        <w:jc w:val="both"/>
        <w:rPr>
          <w:lang w:val="en-US"/>
        </w:rPr>
      </w:pPr>
    </w:p>
    <w:p w:rsidR="00D9026F" w:rsidRDefault="00D9026F" w:rsidP="009C4D7C">
      <w:pPr>
        <w:jc w:val="both"/>
        <w:rPr>
          <w:lang w:val="en-US"/>
        </w:rPr>
      </w:pPr>
      <w:r>
        <w:rPr>
          <w:lang w:val="en-US"/>
        </w:rPr>
        <w:t xml:space="preserve">Conversely, a buying country </w:t>
      </w:r>
      <w:r w:rsidRPr="006E4EA7">
        <w:rPr>
          <w:i/>
          <w:lang w:val="en-US"/>
        </w:rPr>
        <w:t>j</w:t>
      </w:r>
      <w:r>
        <w:rPr>
          <w:lang w:val="en-US"/>
        </w:rPr>
        <w:t xml:space="preserve"> has </w:t>
      </w:r>
      <w:r w:rsidRPr="006E4EA7">
        <w:rPr>
          <w:i/>
          <w:lang w:val="en-US"/>
        </w:rPr>
        <w:t>e</w:t>
      </w:r>
      <w:r w:rsidRPr="006E4EA7">
        <w:rPr>
          <w:i/>
          <w:vertAlign w:val="subscript"/>
          <w:lang w:val="en-US"/>
        </w:rPr>
        <w:t>j,T</w:t>
      </w:r>
      <w:r>
        <w:rPr>
          <w:lang w:val="en-US"/>
        </w:rPr>
        <w:t xml:space="preserve"> &gt; </w:t>
      </w:r>
      <w:r w:rsidRPr="006E4EA7">
        <w:rPr>
          <w:i/>
          <w:lang w:val="en-US"/>
        </w:rPr>
        <w:t>q</w:t>
      </w:r>
      <w:r w:rsidRPr="006E4EA7">
        <w:rPr>
          <w:i/>
          <w:vertAlign w:val="subscript"/>
          <w:lang w:val="en-US"/>
        </w:rPr>
        <w:t>j</w:t>
      </w:r>
      <w:r>
        <w:rPr>
          <w:lang w:val="en-US"/>
        </w:rPr>
        <w:t>. For this country, from (3) and (7):</w:t>
      </w:r>
    </w:p>
    <w:p w:rsidR="00D9026F" w:rsidRPr="008D4DFC" w:rsidRDefault="00D9026F" w:rsidP="00884933">
      <w:pPr>
        <w:pStyle w:val="Ligning"/>
        <w:rPr>
          <w:lang w:val="en-US"/>
        </w:rPr>
      </w:pPr>
      <w:r w:rsidRPr="008D4DFC">
        <w:rPr>
          <w:lang w:val="en-US"/>
        </w:rPr>
        <w:object w:dxaOrig="3620" w:dyaOrig="440">
          <v:shape id="_x0000_i1105" type="#_x0000_t75" style="width:153.5pt;height:21.75pt" o:ole="">
            <v:imagedata r:id="rId118" o:title=""/>
          </v:shape>
          <o:OLEObject Type="Embed" ProgID="Equation.DSMT4" ShapeID="_x0000_i1105" DrawAspect="Content" ObjectID="_1514967691" r:id="rId119"/>
        </w:objec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A.5)</w:t>
      </w:r>
    </w:p>
    <w:p w:rsidR="00D9026F" w:rsidRPr="0043239B" w:rsidRDefault="00D9026F" w:rsidP="009C4D7C">
      <w:pPr>
        <w:jc w:val="both"/>
        <w:rPr>
          <w:lang w:val="en-GB"/>
        </w:rPr>
      </w:pPr>
      <w:r w:rsidRPr="0043239B">
        <w:rPr>
          <w:lang w:val="en-GB"/>
        </w:rPr>
        <w:t xml:space="preserve">By </w:t>
      </w:r>
      <w:r w:rsidRPr="0043239B">
        <w:rPr>
          <w:i/>
          <w:lang w:val="en-GB"/>
        </w:rPr>
        <w:t>MC’</w:t>
      </w:r>
      <w:r>
        <w:rPr>
          <w:i/>
          <w:vertAlign w:val="subscript"/>
          <w:lang w:val="en-GB"/>
        </w:rPr>
        <w:t>j</w:t>
      </w:r>
      <w:r w:rsidRPr="0043239B">
        <w:rPr>
          <w:i/>
          <w:vertAlign w:val="subscript"/>
          <w:lang w:val="en-GB"/>
        </w:rPr>
        <w:t>,T</w:t>
      </w:r>
      <w:r w:rsidRPr="0043239B">
        <w:rPr>
          <w:lang w:val="en-GB"/>
        </w:rPr>
        <w:t xml:space="preserve"> &lt; 0, </w:t>
      </w:r>
      <w:r w:rsidRPr="0043239B">
        <w:rPr>
          <w:i/>
          <w:lang w:val="en-GB"/>
        </w:rPr>
        <w:t>e</w:t>
      </w:r>
      <w:r>
        <w:rPr>
          <w:i/>
          <w:vertAlign w:val="subscript"/>
          <w:lang w:val="en-GB"/>
        </w:rPr>
        <w:t>j</w:t>
      </w:r>
      <w:r w:rsidRPr="0043239B">
        <w:rPr>
          <w:i/>
          <w:vertAlign w:val="subscript"/>
          <w:lang w:val="en-GB"/>
        </w:rPr>
        <w:t>,T</w:t>
      </w:r>
      <w:r w:rsidRPr="0043239B">
        <w:rPr>
          <w:lang w:val="en-GB"/>
        </w:rPr>
        <w:t xml:space="preserve"> </w:t>
      </w:r>
      <w:r>
        <w:rPr>
          <w:lang w:val="en-GB"/>
        </w:rPr>
        <w:t>&gt;</w:t>
      </w:r>
      <w:r w:rsidRPr="0043239B">
        <w:rPr>
          <w:lang w:val="en-GB"/>
        </w:rPr>
        <w:t xml:space="preserve"> </w:t>
      </w:r>
      <w:r w:rsidRPr="0043239B">
        <w:rPr>
          <w:i/>
          <w:lang w:val="en-GB"/>
        </w:rPr>
        <w:t>q</w:t>
      </w:r>
      <w:r>
        <w:rPr>
          <w:i/>
          <w:vertAlign w:val="subscript"/>
          <w:lang w:val="en-GB"/>
        </w:rPr>
        <w:t>j</w:t>
      </w:r>
      <w:r w:rsidRPr="0043239B">
        <w:rPr>
          <w:lang w:val="en-GB"/>
        </w:rPr>
        <w:t xml:space="preserve"> also implies</w:t>
      </w:r>
    </w:p>
    <w:p w:rsidR="00D9026F" w:rsidRPr="0043239B" w:rsidRDefault="00D9026F" w:rsidP="00884933">
      <w:pPr>
        <w:pStyle w:val="Ligning"/>
        <w:rPr>
          <w:lang w:val="en-GB"/>
        </w:rPr>
      </w:pPr>
      <w:r w:rsidRPr="008D4DFC">
        <w:rPr>
          <w:lang w:val="en-US"/>
        </w:rPr>
        <w:object w:dxaOrig="2520" w:dyaOrig="440">
          <v:shape id="_x0000_i1106" type="#_x0000_t75" style="width:107.3pt;height:21.75pt" o:ole="">
            <v:imagedata r:id="rId120" o:title=""/>
          </v:shape>
          <o:OLEObject Type="Embed" ProgID="Equation.DSMT4" ShapeID="_x0000_i1106" DrawAspect="Content" ObjectID="_1514967692" r:id="rId121"/>
        </w:object>
      </w:r>
      <w:r w:rsidRPr="0043239B">
        <w:rPr>
          <w:lang w:val="en-GB"/>
        </w:rPr>
        <w:tab/>
      </w:r>
      <w:r w:rsidRPr="0043239B">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(A.6)</w:t>
      </w:r>
    </w:p>
    <w:p w:rsidR="00D9026F" w:rsidRDefault="00D9026F" w:rsidP="009C4D7C">
      <w:pPr>
        <w:jc w:val="both"/>
        <w:rPr>
          <w:lang w:val="en-GB"/>
        </w:rPr>
      </w:pPr>
      <w:r w:rsidRPr="00EF38FE">
        <w:rPr>
          <w:lang w:val="en-GB"/>
        </w:rPr>
        <w:t xml:space="preserve">If </w:t>
      </w:r>
      <w:r w:rsidRPr="00FD0A4E">
        <w:rPr>
          <w:i/>
          <w:lang w:val="en-GB"/>
        </w:rPr>
        <w:t>MC</w:t>
      </w:r>
      <w:r>
        <w:rPr>
          <w:i/>
          <w:vertAlign w:val="subscript"/>
          <w:lang w:val="en-GB"/>
        </w:rPr>
        <w:t>j</w:t>
      </w:r>
      <w:r w:rsidRPr="00FD0A4E">
        <w:rPr>
          <w:i/>
          <w:vertAlign w:val="subscript"/>
          <w:lang w:val="en-GB"/>
        </w:rPr>
        <w:t>,T</w:t>
      </w:r>
      <w:r w:rsidRPr="00EF38FE">
        <w:rPr>
          <w:lang w:val="en-GB"/>
        </w:rPr>
        <w:t>(</w:t>
      </w:r>
      <w:r w:rsidRPr="00FD0A4E">
        <w:rPr>
          <w:i/>
          <w:lang w:val="en-GB"/>
        </w:rPr>
        <w:t>e</w:t>
      </w:r>
      <w:r>
        <w:rPr>
          <w:i/>
          <w:vertAlign w:val="subscript"/>
          <w:lang w:val="en-GB"/>
        </w:rPr>
        <w:t>j</w:t>
      </w:r>
      <w:r w:rsidRPr="00FD0A4E">
        <w:rPr>
          <w:i/>
          <w:vertAlign w:val="subscript"/>
          <w:lang w:val="en-GB"/>
        </w:rPr>
        <w:t>,T</w:t>
      </w:r>
      <w:r w:rsidRPr="00EF38FE">
        <w:rPr>
          <w:lang w:val="en-GB"/>
        </w:rPr>
        <w:t xml:space="preserve">) </w:t>
      </w:r>
      <w:r>
        <w:rPr>
          <w:lang w:val="en-GB"/>
        </w:rPr>
        <w:t>≥</w:t>
      </w:r>
      <w:r w:rsidRPr="00EF38FE">
        <w:rPr>
          <w:lang w:val="en-GB"/>
        </w:rPr>
        <w:t xml:space="preserve"> </w:t>
      </w:r>
      <w:r w:rsidRPr="00FD0A4E">
        <w:rPr>
          <w:i/>
          <w:lang w:val="en-GB"/>
        </w:rPr>
        <w:t>P</w:t>
      </w:r>
      <w:r>
        <w:rPr>
          <w:i/>
          <w:vertAlign w:val="subscript"/>
          <w:lang w:val="en-GB"/>
        </w:rPr>
        <w:t>j</w:t>
      </w:r>
      <w:r w:rsidRPr="00FD0A4E">
        <w:rPr>
          <w:i/>
          <w:vertAlign w:val="superscript"/>
          <w:lang w:val="en-GB"/>
        </w:rPr>
        <w:t>NTR</w:t>
      </w:r>
      <w:r w:rsidRPr="00EF38FE">
        <w:rPr>
          <w:lang w:val="en-GB"/>
        </w:rPr>
        <w:t xml:space="preserve"> as defined in (2), then </w:t>
      </w:r>
      <w:r w:rsidRPr="00FD0A4E">
        <w:rPr>
          <w:i/>
          <w:lang w:val="en-GB"/>
        </w:rPr>
        <w:t>MC</w:t>
      </w:r>
      <w:r>
        <w:rPr>
          <w:i/>
          <w:vertAlign w:val="subscript"/>
          <w:lang w:val="en-GB"/>
        </w:rPr>
        <w:t>j</w:t>
      </w:r>
      <w:r w:rsidRPr="00FD0A4E">
        <w:rPr>
          <w:i/>
          <w:vertAlign w:val="subscript"/>
          <w:lang w:val="en-GB"/>
        </w:rPr>
        <w:t>,T</w:t>
      </w:r>
      <w:r w:rsidRPr="00EF38FE">
        <w:rPr>
          <w:lang w:val="en-GB"/>
        </w:rPr>
        <w:t>(</w:t>
      </w:r>
      <w:r w:rsidRPr="00FD0A4E">
        <w:rPr>
          <w:i/>
          <w:lang w:val="en-GB"/>
        </w:rPr>
        <w:t>q</w:t>
      </w:r>
      <w:r>
        <w:rPr>
          <w:i/>
          <w:vertAlign w:val="subscript"/>
          <w:lang w:val="en-GB"/>
        </w:rPr>
        <w:t>j</w:t>
      </w:r>
      <w:r>
        <w:rPr>
          <w:lang w:val="en-GB"/>
        </w:rPr>
        <w:t>) &gt;</w:t>
      </w:r>
      <w:r w:rsidRPr="00EF38FE">
        <w:rPr>
          <w:lang w:val="en-GB"/>
        </w:rPr>
        <w:t xml:space="preserve"> </w:t>
      </w:r>
      <w:r w:rsidRPr="00FD0A4E">
        <w:rPr>
          <w:i/>
          <w:lang w:val="en-GB"/>
        </w:rPr>
        <w:t>P</w:t>
      </w:r>
      <w:r>
        <w:rPr>
          <w:i/>
          <w:vertAlign w:val="subscript"/>
          <w:lang w:val="en-GB"/>
        </w:rPr>
        <w:t>j</w:t>
      </w:r>
      <w:r w:rsidRPr="00FD0A4E">
        <w:rPr>
          <w:i/>
          <w:vertAlign w:val="superscript"/>
          <w:lang w:val="en-GB"/>
        </w:rPr>
        <w:t>NTR</w:t>
      </w:r>
      <w:r w:rsidRPr="00EF38FE">
        <w:rPr>
          <w:lang w:val="en-GB"/>
        </w:rPr>
        <w:t xml:space="preserve"> by </w:t>
      </w:r>
      <w:r>
        <w:rPr>
          <w:lang w:val="en-GB"/>
        </w:rPr>
        <w:t>(A.6)</w:t>
      </w:r>
      <w:r w:rsidRPr="00EF38FE">
        <w:rPr>
          <w:lang w:val="en-GB"/>
        </w:rPr>
        <w:t xml:space="preserve">. </w:t>
      </w:r>
      <w:r w:rsidRPr="00D0516C">
        <w:rPr>
          <w:lang w:val="en-GB"/>
        </w:rPr>
        <w:t xml:space="preserve">By </w:t>
      </w:r>
      <w:r w:rsidRPr="00FD0A4E">
        <w:rPr>
          <w:i/>
          <w:lang w:val="en-GB"/>
        </w:rPr>
        <w:t>MC’</w:t>
      </w:r>
      <w:r>
        <w:rPr>
          <w:i/>
          <w:vertAlign w:val="subscript"/>
          <w:lang w:val="en-GB"/>
        </w:rPr>
        <w:t>j</w:t>
      </w:r>
      <w:r w:rsidRPr="00FD0A4E">
        <w:rPr>
          <w:i/>
          <w:vertAlign w:val="subscript"/>
          <w:lang w:val="en-GB"/>
        </w:rPr>
        <w:t>,T</w:t>
      </w:r>
      <w:r w:rsidRPr="00D0516C">
        <w:rPr>
          <w:lang w:val="en-GB"/>
        </w:rPr>
        <w:t xml:space="preserve"> &lt; 0 </w:t>
      </w:r>
      <w:r>
        <w:rPr>
          <w:lang w:val="en-GB"/>
        </w:rPr>
        <w:t xml:space="preserve">and (2) </w:t>
      </w:r>
      <w:r w:rsidRPr="00D0516C">
        <w:rPr>
          <w:lang w:val="en-GB"/>
        </w:rPr>
        <w:t>this implies that</w:t>
      </w:r>
    </w:p>
    <w:p w:rsidR="00D9026F" w:rsidRDefault="00D9026F" w:rsidP="00884933">
      <w:pPr>
        <w:pStyle w:val="Ligning"/>
        <w:rPr>
          <w:lang w:val="en-GB"/>
        </w:rPr>
      </w:pPr>
      <w:r w:rsidRPr="00884933">
        <w:rPr>
          <w:position w:val="-14"/>
          <w:lang w:val="en-US"/>
        </w:rPr>
        <w:object w:dxaOrig="980" w:dyaOrig="400">
          <v:shape id="_x0000_i1107" type="#_x0000_t75" style="width:42.1pt;height:19.7pt" o:ole="">
            <v:imagedata r:id="rId122" o:title=""/>
          </v:shape>
          <o:OLEObject Type="Embed" ProgID="Equation.DSMT4" ShapeID="_x0000_i1107" DrawAspect="Content" ObjectID="_1514967693" r:id="rId123"/>
        </w:objec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(A.7)</w:t>
      </w:r>
    </w:p>
    <w:p w:rsidR="00D9026F" w:rsidRDefault="00D9026F" w:rsidP="009C4D7C">
      <w:pPr>
        <w:jc w:val="both"/>
        <w:rPr>
          <w:lang w:val="en-US"/>
        </w:rPr>
      </w:pPr>
      <w:r>
        <w:rPr>
          <w:lang w:val="en-GB"/>
        </w:rPr>
        <w:t xml:space="preserve">Combined with </w:t>
      </w:r>
      <w:r w:rsidRPr="00FD0A4E">
        <w:rPr>
          <w:i/>
          <w:lang w:val="en-GB"/>
        </w:rPr>
        <w:t>q</w:t>
      </w:r>
      <w:r>
        <w:rPr>
          <w:i/>
          <w:vertAlign w:val="subscript"/>
          <w:lang w:val="en-GB"/>
        </w:rPr>
        <w:t>j</w:t>
      </w:r>
      <w:r>
        <w:rPr>
          <w:lang w:val="en-GB"/>
        </w:rPr>
        <w:t xml:space="preserve"> + </w:t>
      </w:r>
      <w:r w:rsidRPr="00FD0A4E">
        <w:rPr>
          <w:i/>
          <w:lang w:val="en-GB"/>
        </w:rPr>
        <w:t>e</w:t>
      </w:r>
      <w:r>
        <w:rPr>
          <w:i/>
          <w:vertAlign w:val="subscript"/>
          <w:lang w:val="en-GB"/>
        </w:rPr>
        <w:t>j</w:t>
      </w:r>
      <w:r w:rsidRPr="00FD0A4E">
        <w:rPr>
          <w:i/>
          <w:vertAlign w:val="subscript"/>
          <w:lang w:val="en-GB"/>
        </w:rPr>
        <w:t>,NT</w:t>
      </w:r>
      <w:r>
        <w:rPr>
          <w:lang w:val="en-GB"/>
        </w:rPr>
        <w:t xml:space="preserve"> = </w:t>
      </w:r>
      <w:r w:rsidRPr="00FD0A4E">
        <w:rPr>
          <w:i/>
          <w:lang w:val="en-GB"/>
        </w:rPr>
        <w:t>e</w:t>
      </w:r>
      <w:r>
        <w:rPr>
          <w:i/>
          <w:vertAlign w:val="subscript"/>
          <w:lang w:val="en-GB"/>
        </w:rPr>
        <w:t>j</w:t>
      </w:r>
      <w:r w:rsidRPr="00FD0A4E">
        <w:rPr>
          <w:i/>
          <w:vertAlign w:val="subscript"/>
          <w:lang w:val="en-GB"/>
        </w:rPr>
        <w:t>,T</w:t>
      </w:r>
      <w:r w:rsidRPr="00FD0A4E">
        <w:rPr>
          <w:i/>
          <w:vertAlign w:val="superscript"/>
          <w:lang w:val="en-GB"/>
        </w:rPr>
        <w:t>NTR</w:t>
      </w:r>
      <w:r>
        <w:rPr>
          <w:lang w:val="en-GB"/>
        </w:rPr>
        <w:t xml:space="preserve"> + </w:t>
      </w:r>
      <w:r w:rsidRPr="00FD0A4E">
        <w:rPr>
          <w:i/>
          <w:lang w:val="en-GB"/>
        </w:rPr>
        <w:t>e</w:t>
      </w:r>
      <w:r>
        <w:rPr>
          <w:i/>
          <w:vertAlign w:val="subscript"/>
          <w:lang w:val="en-GB"/>
        </w:rPr>
        <w:t>j</w:t>
      </w:r>
      <w:r w:rsidRPr="00FD0A4E">
        <w:rPr>
          <w:i/>
          <w:vertAlign w:val="subscript"/>
          <w:lang w:val="en-GB"/>
        </w:rPr>
        <w:t>,NT</w:t>
      </w:r>
      <w:r w:rsidRPr="00FD0A4E">
        <w:rPr>
          <w:i/>
          <w:vertAlign w:val="superscript"/>
          <w:lang w:val="en-GB"/>
        </w:rPr>
        <w:t>NTR</w:t>
      </w:r>
      <w:r>
        <w:rPr>
          <w:lang w:val="en-GB"/>
        </w:rPr>
        <w:t xml:space="preserve"> = </w:t>
      </w:r>
      <w:r w:rsidRPr="00FD0A4E">
        <w:rPr>
          <w:i/>
          <w:lang w:val="en-GB"/>
        </w:rPr>
        <w:t>E</w:t>
      </w:r>
      <w:r>
        <w:rPr>
          <w:i/>
          <w:vertAlign w:val="subscript"/>
          <w:lang w:val="en-GB"/>
        </w:rPr>
        <w:t>j</w:t>
      </w:r>
      <w:r>
        <w:rPr>
          <w:lang w:val="en-GB"/>
        </w:rPr>
        <w:t xml:space="preserve">, (A.7) implies </w:t>
      </w:r>
      <w:r w:rsidRPr="00FD0A4E">
        <w:rPr>
          <w:i/>
          <w:lang w:val="en-GB"/>
        </w:rPr>
        <w:t>e</w:t>
      </w:r>
      <w:r>
        <w:rPr>
          <w:i/>
          <w:vertAlign w:val="subscript"/>
          <w:lang w:val="en-GB"/>
        </w:rPr>
        <w:t>j</w:t>
      </w:r>
      <w:r w:rsidRPr="00FD0A4E">
        <w:rPr>
          <w:i/>
          <w:vertAlign w:val="subscript"/>
          <w:lang w:val="en-GB"/>
        </w:rPr>
        <w:t>,NT</w:t>
      </w:r>
      <w:r>
        <w:rPr>
          <w:lang w:val="en-GB"/>
        </w:rPr>
        <w:t xml:space="preserve"> &gt; </w:t>
      </w:r>
      <w:r w:rsidRPr="00FD0A4E">
        <w:rPr>
          <w:i/>
          <w:lang w:val="en-GB"/>
        </w:rPr>
        <w:t>e</w:t>
      </w:r>
      <w:r>
        <w:rPr>
          <w:i/>
          <w:vertAlign w:val="subscript"/>
          <w:lang w:val="en-GB"/>
        </w:rPr>
        <w:t>j</w:t>
      </w:r>
      <w:r w:rsidRPr="00FD0A4E">
        <w:rPr>
          <w:i/>
          <w:vertAlign w:val="subscript"/>
          <w:lang w:val="en-GB"/>
        </w:rPr>
        <w:t>,NT</w:t>
      </w:r>
      <w:r w:rsidRPr="00FD0A4E">
        <w:rPr>
          <w:i/>
          <w:vertAlign w:val="superscript"/>
          <w:lang w:val="en-GB"/>
        </w:rPr>
        <w:t>NTR</w:t>
      </w:r>
      <w:r>
        <w:rPr>
          <w:lang w:val="en-GB"/>
        </w:rPr>
        <w:t xml:space="preserve"> which by </w:t>
      </w:r>
      <w:r w:rsidRPr="00FD0A4E">
        <w:rPr>
          <w:i/>
          <w:lang w:val="en-GB"/>
        </w:rPr>
        <w:t>MC’</w:t>
      </w:r>
      <w:r>
        <w:rPr>
          <w:i/>
          <w:vertAlign w:val="subscript"/>
          <w:lang w:val="en-GB"/>
        </w:rPr>
        <w:t>j</w:t>
      </w:r>
      <w:r w:rsidRPr="00FD0A4E">
        <w:rPr>
          <w:i/>
          <w:vertAlign w:val="subscript"/>
          <w:lang w:val="en-GB"/>
        </w:rPr>
        <w:t>,NT</w:t>
      </w:r>
      <w:r>
        <w:rPr>
          <w:lang w:val="en-GB"/>
        </w:rPr>
        <w:t>(</w:t>
      </w:r>
      <w:r w:rsidRPr="00FD0A4E">
        <w:rPr>
          <w:i/>
          <w:lang w:val="en-GB"/>
        </w:rPr>
        <w:t>e</w:t>
      </w:r>
      <w:r>
        <w:rPr>
          <w:i/>
          <w:vertAlign w:val="subscript"/>
          <w:lang w:val="en-GB"/>
        </w:rPr>
        <w:t>j</w:t>
      </w:r>
      <w:r w:rsidRPr="00FD0A4E">
        <w:rPr>
          <w:i/>
          <w:vertAlign w:val="subscript"/>
          <w:lang w:val="en-GB"/>
        </w:rPr>
        <w:t>,NT</w:t>
      </w:r>
      <w:r>
        <w:rPr>
          <w:lang w:val="en-GB"/>
        </w:rPr>
        <w:t xml:space="preserve">) &lt; 0 and (2) means </w:t>
      </w:r>
      <w:r w:rsidRPr="00FD0A4E">
        <w:rPr>
          <w:i/>
          <w:lang w:val="en-GB"/>
        </w:rPr>
        <w:t>MC</w:t>
      </w:r>
      <w:r>
        <w:rPr>
          <w:i/>
          <w:vertAlign w:val="subscript"/>
          <w:lang w:val="en-GB"/>
        </w:rPr>
        <w:t>j</w:t>
      </w:r>
      <w:r w:rsidRPr="00FD0A4E">
        <w:rPr>
          <w:i/>
          <w:vertAlign w:val="subscript"/>
          <w:lang w:val="en-GB"/>
        </w:rPr>
        <w:t>,NT</w:t>
      </w:r>
      <w:r>
        <w:rPr>
          <w:lang w:val="en-GB"/>
        </w:rPr>
        <w:t>(</w:t>
      </w:r>
      <w:r w:rsidRPr="00FD0A4E">
        <w:rPr>
          <w:i/>
          <w:lang w:val="en-GB"/>
        </w:rPr>
        <w:t>e</w:t>
      </w:r>
      <w:r>
        <w:rPr>
          <w:i/>
          <w:vertAlign w:val="subscript"/>
          <w:lang w:val="en-GB"/>
        </w:rPr>
        <w:t>j</w:t>
      </w:r>
      <w:r w:rsidRPr="00FD0A4E">
        <w:rPr>
          <w:i/>
          <w:vertAlign w:val="subscript"/>
          <w:lang w:val="en-GB"/>
        </w:rPr>
        <w:t>,NT</w:t>
      </w:r>
      <w:r>
        <w:rPr>
          <w:lang w:val="en-GB"/>
        </w:rPr>
        <w:t xml:space="preserve">) &lt; </w:t>
      </w:r>
      <w:r w:rsidRPr="00FD0A4E">
        <w:rPr>
          <w:i/>
          <w:lang w:val="en-GB"/>
        </w:rPr>
        <w:t>MC</w:t>
      </w:r>
      <w:r>
        <w:rPr>
          <w:i/>
          <w:vertAlign w:val="subscript"/>
          <w:lang w:val="en-GB"/>
        </w:rPr>
        <w:t>j</w:t>
      </w:r>
      <w:r w:rsidRPr="00FD0A4E">
        <w:rPr>
          <w:i/>
          <w:vertAlign w:val="subscript"/>
          <w:lang w:val="en-GB"/>
        </w:rPr>
        <w:t>,NT</w:t>
      </w:r>
      <w:r>
        <w:rPr>
          <w:lang w:val="en-GB"/>
        </w:rPr>
        <w:t>(</w:t>
      </w:r>
      <w:r w:rsidRPr="00FD0A4E">
        <w:rPr>
          <w:i/>
          <w:lang w:val="en-GB"/>
        </w:rPr>
        <w:t>e</w:t>
      </w:r>
      <w:r>
        <w:rPr>
          <w:i/>
          <w:vertAlign w:val="subscript"/>
          <w:lang w:val="en-GB"/>
        </w:rPr>
        <w:t>j</w:t>
      </w:r>
      <w:r w:rsidRPr="00FD0A4E">
        <w:rPr>
          <w:i/>
          <w:vertAlign w:val="subscript"/>
          <w:lang w:val="en-GB"/>
        </w:rPr>
        <w:t>,NT</w:t>
      </w:r>
      <w:r w:rsidRPr="00FD0A4E">
        <w:rPr>
          <w:i/>
          <w:vertAlign w:val="superscript"/>
          <w:lang w:val="en-GB"/>
        </w:rPr>
        <w:t>NTR</w:t>
      </w:r>
      <w:r>
        <w:rPr>
          <w:lang w:val="en-GB"/>
        </w:rPr>
        <w:t xml:space="preserve">) = </w:t>
      </w:r>
      <w:r w:rsidRPr="00FD0A4E">
        <w:rPr>
          <w:i/>
          <w:lang w:val="en-GB"/>
        </w:rPr>
        <w:t>P</w:t>
      </w:r>
      <w:r>
        <w:rPr>
          <w:i/>
          <w:vertAlign w:val="subscript"/>
          <w:lang w:val="en-GB"/>
        </w:rPr>
        <w:t>j</w:t>
      </w:r>
      <w:r w:rsidRPr="00FD0A4E">
        <w:rPr>
          <w:i/>
          <w:vertAlign w:val="superscript"/>
          <w:lang w:val="en-GB"/>
        </w:rPr>
        <w:t>NTR</w:t>
      </w:r>
      <w:r>
        <w:rPr>
          <w:lang w:val="en-GB"/>
        </w:rPr>
        <w:t xml:space="preserve">. This inequality, combined with </w:t>
      </w:r>
      <w:r w:rsidRPr="00FD0A4E">
        <w:rPr>
          <w:i/>
          <w:lang w:val="en-GB"/>
        </w:rPr>
        <w:t>P</w:t>
      </w:r>
      <w:r>
        <w:rPr>
          <w:i/>
          <w:vertAlign w:val="subscript"/>
          <w:lang w:val="en-GB"/>
        </w:rPr>
        <w:t>j</w:t>
      </w:r>
      <w:r w:rsidRPr="00FD0A4E">
        <w:rPr>
          <w:i/>
          <w:vertAlign w:val="superscript"/>
          <w:lang w:val="en-GB"/>
        </w:rPr>
        <w:t>NTR</w:t>
      </w:r>
      <w:r w:rsidRPr="00EF38FE">
        <w:rPr>
          <w:lang w:val="en-GB"/>
        </w:rPr>
        <w:t xml:space="preserve"> </w:t>
      </w:r>
      <w:r>
        <w:rPr>
          <w:lang w:val="en-GB"/>
        </w:rPr>
        <w:t xml:space="preserve">≤ </w:t>
      </w:r>
      <w:r w:rsidRPr="00FD0A4E">
        <w:rPr>
          <w:i/>
          <w:lang w:val="en-GB"/>
        </w:rPr>
        <w:t>MC</w:t>
      </w:r>
      <w:r>
        <w:rPr>
          <w:i/>
          <w:vertAlign w:val="subscript"/>
          <w:lang w:val="en-GB"/>
        </w:rPr>
        <w:t>j</w:t>
      </w:r>
      <w:r w:rsidRPr="00FD0A4E">
        <w:rPr>
          <w:i/>
          <w:vertAlign w:val="subscript"/>
          <w:lang w:val="en-GB"/>
        </w:rPr>
        <w:t>,T</w:t>
      </w:r>
      <w:r w:rsidRPr="00EF38FE">
        <w:rPr>
          <w:lang w:val="en-GB"/>
        </w:rPr>
        <w:t>(</w:t>
      </w:r>
      <w:r w:rsidRPr="00FD0A4E">
        <w:rPr>
          <w:i/>
          <w:lang w:val="en-GB"/>
        </w:rPr>
        <w:t>e</w:t>
      </w:r>
      <w:r>
        <w:rPr>
          <w:i/>
          <w:vertAlign w:val="subscript"/>
          <w:lang w:val="en-GB"/>
        </w:rPr>
        <w:t>j</w:t>
      </w:r>
      <w:r w:rsidRPr="00FD0A4E">
        <w:rPr>
          <w:i/>
          <w:vertAlign w:val="subscript"/>
          <w:lang w:val="en-GB"/>
        </w:rPr>
        <w:t>,T</w:t>
      </w:r>
      <w:r w:rsidRPr="00EF38FE">
        <w:rPr>
          <w:lang w:val="en-GB"/>
        </w:rPr>
        <w:t>)</w:t>
      </w:r>
      <w:r>
        <w:rPr>
          <w:lang w:val="en-GB"/>
        </w:rPr>
        <w:t xml:space="preserve"> implies </w:t>
      </w:r>
      <w:r w:rsidRPr="00FD0A4E">
        <w:rPr>
          <w:i/>
          <w:lang w:val="en-GB"/>
        </w:rPr>
        <w:t>MC</w:t>
      </w:r>
      <w:r>
        <w:rPr>
          <w:i/>
          <w:vertAlign w:val="subscript"/>
          <w:lang w:val="en-GB"/>
        </w:rPr>
        <w:t>j</w:t>
      </w:r>
      <w:r w:rsidRPr="00FD0A4E">
        <w:rPr>
          <w:i/>
          <w:vertAlign w:val="subscript"/>
          <w:lang w:val="en-GB"/>
        </w:rPr>
        <w:t>,NT</w:t>
      </w:r>
      <w:r>
        <w:rPr>
          <w:lang w:val="en-GB"/>
        </w:rPr>
        <w:t>(</w:t>
      </w:r>
      <w:r w:rsidRPr="00FD0A4E">
        <w:rPr>
          <w:i/>
          <w:lang w:val="en-GB"/>
        </w:rPr>
        <w:t>e</w:t>
      </w:r>
      <w:r w:rsidRPr="00FD0A4E">
        <w:rPr>
          <w:i/>
          <w:vertAlign w:val="subscript"/>
          <w:lang w:val="en-GB"/>
        </w:rPr>
        <w:t>i,NT</w:t>
      </w:r>
      <w:r>
        <w:rPr>
          <w:lang w:val="en-GB"/>
        </w:rPr>
        <w:t xml:space="preserve">) &lt; </w:t>
      </w:r>
      <w:r w:rsidRPr="00FD0A4E">
        <w:rPr>
          <w:i/>
          <w:lang w:val="en-GB"/>
        </w:rPr>
        <w:t>MC</w:t>
      </w:r>
      <w:r>
        <w:rPr>
          <w:i/>
          <w:vertAlign w:val="subscript"/>
          <w:lang w:val="en-GB"/>
        </w:rPr>
        <w:t>j</w:t>
      </w:r>
      <w:r w:rsidRPr="00FD0A4E">
        <w:rPr>
          <w:i/>
          <w:vertAlign w:val="subscript"/>
          <w:lang w:val="en-GB"/>
        </w:rPr>
        <w:t>,T</w:t>
      </w:r>
      <w:r w:rsidRPr="00EF38FE">
        <w:rPr>
          <w:lang w:val="en-GB"/>
        </w:rPr>
        <w:t>(</w:t>
      </w:r>
      <w:r w:rsidRPr="00FD0A4E">
        <w:rPr>
          <w:i/>
          <w:lang w:val="en-GB"/>
        </w:rPr>
        <w:t>e</w:t>
      </w:r>
      <w:r>
        <w:rPr>
          <w:i/>
          <w:vertAlign w:val="subscript"/>
          <w:lang w:val="en-GB"/>
        </w:rPr>
        <w:t>j</w:t>
      </w:r>
      <w:r w:rsidRPr="00FD0A4E">
        <w:rPr>
          <w:i/>
          <w:vertAlign w:val="subscript"/>
          <w:lang w:val="en-GB"/>
        </w:rPr>
        <w:t>,T</w:t>
      </w:r>
      <w:r w:rsidRPr="00EF38FE">
        <w:rPr>
          <w:lang w:val="en-GB"/>
        </w:rPr>
        <w:t>)</w:t>
      </w:r>
      <w:r>
        <w:rPr>
          <w:lang w:val="en-GB"/>
        </w:rPr>
        <w:t xml:space="preserve">, which contradicts (A.5). Thus we must have </w:t>
      </w:r>
      <w:r w:rsidRPr="00FD0A4E">
        <w:rPr>
          <w:i/>
          <w:lang w:val="en-GB"/>
        </w:rPr>
        <w:t>P</w:t>
      </w:r>
      <w:r>
        <w:rPr>
          <w:i/>
          <w:vertAlign w:val="subscript"/>
          <w:lang w:val="en-GB"/>
        </w:rPr>
        <w:t>j</w:t>
      </w:r>
      <w:r w:rsidRPr="00FD0A4E">
        <w:rPr>
          <w:i/>
          <w:vertAlign w:val="superscript"/>
          <w:lang w:val="en-GB"/>
        </w:rPr>
        <w:t>NTR</w:t>
      </w:r>
      <w:r w:rsidRPr="00EF38FE">
        <w:rPr>
          <w:lang w:val="en-GB"/>
        </w:rPr>
        <w:t xml:space="preserve"> </w:t>
      </w:r>
      <w:r>
        <w:rPr>
          <w:lang w:val="en-GB"/>
        </w:rPr>
        <w:t xml:space="preserve">&gt; </w:t>
      </w:r>
      <w:r w:rsidRPr="00FD0A4E">
        <w:rPr>
          <w:i/>
          <w:lang w:val="en-GB"/>
        </w:rPr>
        <w:t>MC</w:t>
      </w:r>
      <w:r>
        <w:rPr>
          <w:i/>
          <w:vertAlign w:val="subscript"/>
          <w:lang w:val="en-GB"/>
        </w:rPr>
        <w:t>j</w:t>
      </w:r>
      <w:r w:rsidRPr="00FD0A4E">
        <w:rPr>
          <w:i/>
          <w:vertAlign w:val="subscript"/>
          <w:lang w:val="en-GB"/>
        </w:rPr>
        <w:t>,T</w:t>
      </w:r>
      <w:r w:rsidRPr="00EF38FE">
        <w:rPr>
          <w:lang w:val="en-GB"/>
        </w:rPr>
        <w:t>(</w:t>
      </w:r>
      <w:r w:rsidRPr="00FD0A4E">
        <w:rPr>
          <w:i/>
          <w:lang w:val="en-GB"/>
        </w:rPr>
        <w:t>e</w:t>
      </w:r>
      <w:r>
        <w:rPr>
          <w:i/>
          <w:vertAlign w:val="subscript"/>
          <w:lang w:val="en-GB"/>
        </w:rPr>
        <w:t>j</w:t>
      </w:r>
      <w:r w:rsidRPr="00FD0A4E">
        <w:rPr>
          <w:i/>
          <w:vertAlign w:val="subscript"/>
          <w:lang w:val="en-GB"/>
        </w:rPr>
        <w:t>,T</w:t>
      </w:r>
      <w:r w:rsidRPr="00EF38FE">
        <w:rPr>
          <w:lang w:val="en-GB"/>
        </w:rPr>
        <w:t>)</w:t>
      </w:r>
      <w:r>
        <w:rPr>
          <w:lang w:val="en-GB"/>
        </w:rPr>
        <w:t xml:space="preserve"> = </w:t>
      </w:r>
      <w:r w:rsidRPr="00FD0A4E">
        <w:rPr>
          <w:i/>
          <w:lang w:val="en-GB"/>
        </w:rPr>
        <w:t>P</w:t>
      </w:r>
      <w:r>
        <w:rPr>
          <w:lang w:val="en-GB"/>
        </w:rPr>
        <w:t>.</w:t>
      </w:r>
      <w:r w:rsidRPr="00BA360C">
        <w:rPr>
          <w:lang w:val="en-US"/>
        </w:rPr>
        <w:t xml:space="preserve"> </w:t>
      </w:r>
      <w:r>
        <w:rPr>
          <w:lang w:val="en-US"/>
        </w:rPr>
        <w:t>■</w:t>
      </w:r>
    </w:p>
    <w:p w:rsidR="00D9026F" w:rsidRDefault="00D9026F" w:rsidP="009C4D7C">
      <w:pPr>
        <w:jc w:val="both"/>
        <w:rPr>
          <w:lang w:val="en-US"/>
        </w:rPr>
      </w:pPr>
    </w:p>
    <w:p w:rsidR="00D9026F" w:rsidRDefault="00D9026F" w:rsidP="009C4D7C">
      <w:pPr>
        <w:jc w:val="both"/>
        <w:rPr>
          <w:lang w:val="en-US"/>
        </w:rPr>
      </w:pPr>
      <w:r>
        <w:rPr>
          <w:lang w:val="en-US"/>
        </w:rPr>
        <w:t xml:space="preserve">Turning to Proposition 2, if </w:t>
      </w:r>
      <w:r w:rsidRPr="00AE7BD9">
        <w:rPr>
          <w:i/>
          <w:lang w:val="en-US"/>
        </w:rPr>
        <w:t>P</w:t>
      </w:r>
      <w:r>
        <w:rPr>
          <w:lang w:val="en-US"/>
        </w:rPr>
        <w:t xml:space="preserve"> </w:t>
      </w:r>
      <w:r>
        <w:rPr>
          <w:i/>
          <w:lang w:val="en-US"/>
        </w:rPr>
        <w:t>≤</w:t>
      </w:r>
      <w:r>
        <w:rPr>
          <w:lang w:val="en-US"/>
        </w:rPr>
        <w:t xml:space="preserve"> </w:t>
      </w:r>
      <w:r w:rsidRPr="00AE7BD9">
        <w:rPr>
          <w:i/>
          <w:lang w:val="en-US"/>
        </w:rPr>
        <w:t>P</w:t>
      </w:r>
      <w:r w:rsidRPr="00AE7BD9">
        <w:rPr>
          <w:vertAlign w:val="subscript"/>
          <w:lang w:val="en-US"/>
        </w:rPr>
        <w:t>1</w:t>
      </w:r>
      <w:r w:rsidRPr="00AE7BD9">
        <w:rPr>
          <w:i/>
          <w:vertAlign w:val="superscript"/>
          <w:lang w:val="en-US"/>
        </w:rPr>
        <w:t>NTR</w:t>
      </w:r>
      <w:r>
        <w:rPr>
          <w:lang w:val="en-US"/>
        </w:rPr>
        <w:t xml:space="preserve">, then by Lemma 1 </w:t>
      </w:r>
      <w:r w:rsidRPr="00AE7BD9">
        <w:rPr>
          <w:i/>
          <w:lang w:val="en-US"/>
        </w:rPr>
        <w:t>e</w:t>
      </w:r>
      <w:r w:rsidRPr="00AE7BD9">
        <w:rPr>
          <w:i/>
          <w:vertAlign w:val="subscript"/>
          <w:lang w:val="en-US"/>
        </w:rPr>
        <w:t>i,T</w:t>
      </w:r>
      <w:r>
        <w:rPr>
          <w:lang w:val="en-US"/>
        </w:rPr>
        <w:t xml:space="preserve"> ≥ </w:t>
      </w:r>
      <w:r w:rsidRPr="00AE7BD9">
        <w:rPr>
          <w:i/>
          <w:lang w:val="en-US"/>
        </w:rPr>
        <w:t>q</w:t>
      </w:r>
      <w:r w:rsidRPr="00AE7BD9">
        <w:rPr>
          <w:i/>
          <w:vertAlign w:val="subscript"/>
          <w:lang w:val="en-US"/>
        </w:rPr>
        <w:t>i</w:t>
      </w:r>
      <w:r>
        <w:rPr>
          <w:lang w:val="en-US"/>
        </w:rPr>
        <w:t xml:space="preserve"> for all </w:t>
      </w:r>
      <w:r w:rsidRPr="00AE7BD9">
        <w:rPr>
          <w:i/>
          <w:lang w:val="en-US"/>
        </w:rPr>
        <w:t>i</w:t>
      </w:r>
      <w:r>
        <w:rPr>
          <w:lang w:val="en-US"/>
        </w:rPr>
        <w:t xml:space="preserve"> = </w:t>
      </w:r>
      <w:r w:rsidRPr="00AE7BD9">
        <w:rPr>
          <w:lang w:val="en-US"/>
        </w:rPr>
        <w:t>1</w:t>
      </w:r>
      <w:r>
        <w:rPr>
          <w:lang w:val="en-US"/>
        </w:rPr>
        <w:t>,…,</w:t>
      </w:r>
      <w:r w:rsidRPr="00AE7BD9">
        <w:rPr>
          <w:i/>
          <w:lang w:val="en-US"/>
        </w:rPr>
        <w:t>n</w:t>
      </w:r>
      <w:r>
        <w:rPr>
          <w:lang w:val="en-US"/>
        </w:rPr>
        <w:t>–</w:t>
      </w:r>
      <w:r w:rsidRPr="00AE7BD9">
        <w:rPr>
          <w:lang w:val="en-US"/>
        </w:rPr>
        <w:t>1</w:t>
      </w:r>
      <w:r>
        <w:rPr>
          <w:lang w:val="en-US"/>
        </w:rPr>
        <w:t xml:space="preserve"> and </w:t>
      </w:r>
      <w:r w:rsidRPr="00AE7BD9">
        <w:rPr>
          <w:i/>
          <w:lang w:val="en-US"/>
        </w:rPr>
        <w:t>e</w:t>
      </w:r>
      <w:r w:rsidRPr="00AE7BD9">
        <w:rPr>
          <w:i/>
          <w:vertAlign w:val="subscript"/>
          <w:lang w:val="en-US"/>
        </w:rPr>
        <w:t>n,T</w:t>
      </w:r>
      <w:r>
        <w:rPr>
          <w:lang w:val="en-US"/>
        </w:rPr>
        <w:t xml:space="preserve"> &gt; </w:t>
      </w:r>
      <w:r w:rsidRPr="00AE7BD9">
        <w:rPr>
          <w:i/>
          <w:lang w:val="en-US"/>
        </w:rPr>
        <w:t>q</w:t>
      </w:r>
      <w:r w:rsidRPr="00AE7BD9">
        <w:rPr>
          <w:i/>
          <w:vertAlign w:val="subscript"/>
          <w:lang w:val="en-US"/>
        </w:rPr>
        <w:t>n</w:t>
      </w:r>
      <w:r>
        <w:rPr>
          <w:lang w:val="en-US"/>
        </w:rPr>
        <w:t xml:space="preserve">. Then the market clearing condition (4) cannot hold. Conversely, if </w:t>
      </w:r>
      <w:r w:rsidRPr="00AE7BD9">
        <w:rPr>
          <w:i/>
          <w:lang w:val="en-US"/>
        </w:rPr>
        <w:t>P</w:t>
      </w:r>
      <w:r>
        <w:rPr>
          <w:lang w:val="en-US"/>
        </w:rPr>
        <w:t xml:space="preserve"> ≥ </w:t>
      </w:r>
      <w:r w:rsidRPr="00AE7BD9">
        <w:rPr>
          <w:i/>
          <w:lang w:val="en-US"/>
        </w:rPr>
        <w:t>P</w:t>
      </w:r>
      <w:r w:rsidRPr="00AE7BD9">
        <w:rPr>
          <w:i/>
          <w:vertAlign w:val="subscript"/>
          <w:lang w:val="en-US"/>
        </w:rPr>
        <w:t>n</w:t>
      </w:r>
      <w:r w:rsidRPr="00AE7BD9">
        <w:rPr>
          <w:i/>
          <w:vertAlign w:val="superscript"/>
          <w:lang w:val="en-US"/>
        </w:rPr>
        <w:t>NTR</w:t>
      </w:r>
      <w:r>
        <w:rPr>
          <w:lang w:val="en-US"/>
        </w:rPr>
        <w:t xml:space="preserve">, then by Lemma 1 </w:t>
      </w:r>
      <w:r w:rsidRPr="00AE7BD9">
        <w:rPr>
          <w:i/>
          <w:lang w:val="en-US"/>
        </w:rPr>
        <w:t>e</w:t>
      </w:r>
      <w:r w:rsidRPr="00AE7BD9">
        <w:rPr>
          <w:vertAlign w:val="subscript"/>
          <w:lang w:val="en-US"/>
        </w:rPr>
        <w:t>1</w:t>
      </w:r>
      <w:r w:rsidRPr="00AE7BD9">
        <w:rPr>
          <w:i/>
          <w:vertAlign w:val="subscript"/>
          <w:lang w:val="en-US"/>
        </w:rPr>
        <w:t>,T</w:t>
      </w:r>
      <w:r>
        <w:rPr>
          <w:lang w:val="en-US"/>
        </w:rPr>
        <w:t xml:space="preserve"> &lt; </w:t>
      </w:r>
      <w:r w:rsidRPr="00AE7BD9">
        <w:rPr>
          <w:i/>
          <w:lang w:val="en-US"/>
        </w:rPr>
        <w:t>q</w:t>
      </w:r>
      <w:r w:rsidRPr="00AE7BD9">
        <w:rPr>
          <w:vertAlign w:val="subscript"/>
          <w:lang w:val="en-US"/>
        </w:rPr>
        <w:t>1</w:t>
      </w:r>
      <w:r>
        <w:rPr>
          <w:lang w:val="en-US"/>
        </w:rPr>
        <w:t xml:space="preserve"> and </w:t>
      </w:r>
      <w:r w:rsidRPr="00AE7BD9">
        <w:rPr>
          <w:i/>
          <w:lang w:val="en-US"/>
        </w:rPr>
        <w:t>e</w:t>
      </w:r>
      <w:r w:rsidRPr="00AE7BD9">
        <w:rPr>
          <w:i/>
          <w:vertAlign w:val="subscript"/>
          <w:lang w:val="en-US"/>
        </w:rPr>
        <w:t>j,T</w:t>
      </w:r>
      <w:r>
        <w:rPr>
          <w:lang w:val="en-US"/>
        </w:rPr>
        <w:t xml:space="preserve"> </w:t>
      </w:r>
      <w:r>
        <w:rPr>
          <w:i/>
          <w:lang w:val="en-US"/>
        </w:rPr>
        <w:t>≤</w:t>
      </w:r>
      <w:r>
        <w:rPr>
          <w:lang w:val="en-US"/>
        </w:rPr>
        <w:t xml:space="preserve"> </w:t>
      </w:r>
      <w:r w:rsidRPr="00AE7BD9">
        <w:rPr>
          <w:i/>
          <w:lang w:val="en-US"/>
        </w:rPr>
        <w:t>q</w:t>
      </w:r>
      <w:r w:rsidRPr="00AE7BD9">
        <w:rPr>
          <w:i/>
          <w:vertAlign w:val="subscript"/>
          <w:lang w:val="en-US"/>
        </w:rPr>
        <w:t>j</w:t>
      </w:r>
      <w:r>
        <w:rPr>
          <w:lang w:val="en-US"/>
        </w:rPr>
        <w:t xml:space="preserve"> for all </w:t>
      </w:r>
      <w:r w:rsidRPr="00AE7BD9">
        <w:rPr>
          <w:i/>
          <w:lang w:val="en-US"/>
        </w:rPr>
        <w:t>j</w:t>
      </w:r>
      <w:r>
        <w:rPr>
          <w:lang w:val="en-US"/>
        </w:rPr>
        <w:t xml:space="preserve"> = 2,…,</w:t>
      </w:r>
      <w:r w:rsidRPr="00AE7BD9">
        <w:rPr>
          <w:i/>
          <w:lang w:val="en-US"/>
        </w:rPr>
        <w:t>n</w:t>
      </w:r>
      <w:r>
        <w:rPr>
          <w:lang w:val="en-US"/>
        </w:rPr>
        <w:t>. Then, again, (4) cannot hold.</w:t>
      </w:r>
      <w:r w:rsidRPr="00B07A56">
        <w:rPr>
          <w:lang w:val="en-US"/>
        </w:rPr>
        <w:t xml:space="preserve"> </w:t>
      </w:r>
      <w:r>
        <w:rPr>
          <w:lang w:val="en-US"/>
        </w:rPr>
        <w:t>■</w:t>
      </w:r>
    </w:p>
    <w:p w:rsidR="00D9026F" w:rsidRDefault="00D9026F" w:rsidP="009C4D7C">
      <w:pPr>
        <w:jc w:val="both"/>
        <w:rPr>
          <w:lang w:val="en-US"/>
        </w:rPr>
      </w:pPr>
      <w:r>
        <w:rPr>
          <w:lang w:val="en-US"/>
        </w:rPr>
        <w:t xml:space="preserve"> </w:t>
      </w:r>
    </w:p>
    <w:p w:rsidR="00D9026F" w:rsidRPr="00E5200F" w:rsidRDefault="00D9026F" w:rsidP="00E5200F">
      <w:pPr>
        <w:pStyle w:val="Heading1"/>
        <w:jc w:val="both"/>
        <w:rPr>
          <w:lang w:val="en-US"/>
        </w:rPr>
      </w:pPr>
      <w:r w:rsidRPr="00E5200F">
        <w:rPr>
          <w:lang w:val="en-US"/>
        </w:rPr>
        <w:lastRenderedPageBreak/>
        <w:t>Appendix B: Specification of MC-curves</w:t>
      </w:r>
    </w:p>
    <w:p w:rsidR="00D9026F" w:rsidRDefault="00D9026F" w:rsidP="000B6E05">
      <w:pPr>
        <w:jc w:val="both"/>
        <w:rPr>
          <w:lang w:val="en-US"/>
        </w:rPr>
      </w:pPr>
      <w:r>
        <w:rPr>
          <w:lang w:val="en-US"/>
        </w:rPr>
        <w:t>The estimated parameters in the marginal abatement cost function (9) are provided in Table B1. The corresponding MC-curves for the ELE and EIS sectors in selected countries are shown in Figures B1 and B2, respectively.</w:t>
      </w:r>
    </w:p>
    <w:p w:rsidR="00D9026F" w:rsidRDefault="00D9026F" w:rsidP="00014F22">
      <w:pPr>
        <w:spacing w:before="240" w:after="120"/>
        <w:jc w:val="both"/>
        <w:rPr>
          <w:bCs/>
          <w:lang w:val="en-US"/>
        </w:rPr>
      </w:pPr>
      <w:r w:rsidRPr="008D4DFC">
        <w:rPr>
          <w:bCs/>
          <w:lang w:val="en-US"/>
        </w:rPr>
        <w:t xml:space="preserve">Table </w:t>
      </w:r>
      <w:r>
        <w:rPr>
          <w:bCs/>
          <w:lang w:val="en-US"/>
        </w:rPr>
        <w:t>B</w:t>
      </w:r>
      <w:r w:rsidRPr="008D4DFC">
        <w:rPr>
          <w:bCs/>
          <w:lang w:val="en-US"/>
        </w:rPr>
        <w:t xml:space="preserve">1: </w:t>
      </w:r>
      <w:r>
        <w:rPr>
          <w:bCs/>
          <w:lang w:val="en-US"/>
        </w:rPr>
        <w:t>E</w:t>
      </w:r>
      <w:r w:rsidRPr="00014F22">
        <w:rPr>
          <w:bCs/>
          <w:lang w:val="en-US"/>
        </w:rPr>
        <w:t xml:space="preserve">stimated </w:t>
      </w:r>
      <w:r>
        <w:rPr>
          <w:bCs/>
          <w:lang w:val="en-US"/>
        </w:rPr>
        <w:t xml:space="preserve">parameters in the MC-curves </w:t>
      </w:r>
    </w:p>
    <w:tbl>
      <w:tblPr>
        <w:tblW w:w="0" w:type="auto"/>
        <w:tblBorders>
          <w:top w:val="single" w:sz="12" w:space="0" w:color="008000"/>
          <w:bottom w:val="single" w:sz="12" w:space="0" w:color="008000"/>
        </w:tblBorders>
        <w:tblLook w:val="00A0" w:firstRow="1" w:lastRow="0" w:firstColumn="1" w:lastColumn="0" w:noHBand="0" w:noVBand="0"/>
      </w:tblPr>
      <w:tblGrid>
        <w:gridCol w:w="1100"/>
        <w:gridCol w:w="1493"/>
        <w:gridCol w:w="1322"/>
        <w:gridCol w:w="1259"/>
        <w:gridCol w:w="1263"/>
        <w:gridCol w:w="1263"/>
        <w:gridCol w:w="1304"/>
      </w:tblGrid>
      <w:tr w:rsidR="00D9026F" w:rsidRPr="008D4DFC" w:rsidTr="000B6E05">
        <w:tc>
          <w:tcPr>
            <w:tcW w:w="1100" w:type="dxa"/>
            <w:vMerge w:val="restart"/>
            <w:tcBorders>
              <w:top w:val="single" w:sz="12" w:space="0" w:color="008000"/>
              <w:right w:val="single" w:sz="4" w:space="0" w:color="auto"/>
            </w:tcBorders>
          </w:tcPr>
          <w:p w:rsidR="00D9026F" w:rsidRDefault="00D9026F" w:rsidP="000B6E05">
            <w:pPr>
              <w:spacing w:before="60" w:after="60" w:line="240" w:lineRule="auto"/>
              <w:jc w:val="both"/>
              <w:rPr>
                <w:lang w:val="en-US"/>
              </w:rPr>
            </w:pPr>
          </w:p>
          <w:p w:rsidR="00D9026F" w:rsidRPr="008D4DFC" w:rsidRDefault="00D9026F" w:rsidP="000B6E05">
            <w:pPr>
              <w:spacing w:before="60" w:after="60" w:line="240" w:lineRule="auto"/>
              <w:jc w:val="both"/>
              <w:rPr>
                <w:lang w:val="en-US"/>
              </w:rPr>
            </w:pPr>
            <w:r w:rsidRPr="008D4DFC">
              <w:rPr>
                <w:lang w:val="en-US"/>
              </w:rPr>
              <w:t>Region</w:t>
            </w:r>
          </w:p>
        </w:tc>
        <w:tc>
          <w:tcPr>
            <w:tcW w:w="4074" w:type="dxa"/>
            <w:gridSpan w:val="3"/>
            <w:tcBorders>
              <w:top w:val="single" w:sz="12" w:space="0" w:color="008000"/>
              <w:left w:val="single" w:sz="4" w:space="0" w:color="auto"/>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ELE</w:t>
            </w:r>
          </w:p>
        </w:tc>
        <w:tc>
          <w:tcPr>
            <w:tcW w:w="3830" w:type="dxa"/>
            <w:gridSpan w:val="3"/>
            <w:tcBorders>
              <w:top w:val="single" w:sz="12" w:space="0" w:color="008000"/>
              <w:left w:val="single" w:sz="4" w:space="0" w:color="auto"/>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EIS</w:t>
            </w:r>
          </w:p>
        </w:tc>
      </w:tr>
      <w:tr w:rsidR="00D9026F" w:rsidRPr="008D4DFC" w:rsidTr="000B6E05">
        <w:tc>
          <w:tcPr>
            <w:tcW w:w="1100" w:type="dxa"/>
            <w:vMerge/>
            <w:tcBorders>
              <w:bottom w:val="single" w:sz="6" w:space="0" w:color="008000"/>
              <w:right w:val="single" w:sz="4" w:space="0" w:color="auto"/>
            </w:tcBorders>
          </w:tcPr>
          <w:p w:rsidR="00D9026F" w:rsidRPr="008D4DFC" w:rsidRDefault="00D9026F" w:rsidP="000B6E05">
            <w:pPr>
              <w:spacing w:before="60" w:after="60" w:line="240" w:lineRule="auto"/>
              <w:jc w:val="both"/>
              <w:rPr>
                <w:lang w:val="en-US"/>
              </w:rPr>
            </w:pPr>
          </w:p>
        </w:tc>
        <w:tc>
          <w:tcPr>
            <w:tcW w:w="1493" w:type="dxa"/>
            <w:tcBorders>
              <w:top w:val="single" w:sz="12" w:space="0" w:color="008000"/>
              <w:left w:val="single" w:sz="4" w:space="0" w:color="auto"/>
              <w:bottom w:val="single" w:sz="6" w:space="0" w:color="008000"/>
            </w:tcBorders>
          </w:tcPr>
          <w:p w:rsidR="00D9026F" w:rsidRPr="008D4DFC" w:rsidRDefault="00D9026F" w:rsidP="000B6E05">
            <w:pPr>
              <w:spacing w:before="60" w:after="60" w:line="240" w:lineRule="auto"/>
              <w:jc w:val="center"/>
              <w:rPr>
                <w:lang w:val="en-US"/>
              </w:rPr>
            </w:pPr>
            <w:r>
              <w:rPr>
                <w:lang w:val="en-US"/>
              </w:rPr>
              <w:t>a1</w:t>
            </w:r>
          </w:p>
        </w:tc>
        <w:tc>
          <w:tcPr>
            <w:tcW w:w="1322" w:type="dxa"/>
            <w:tcBorders>
              <w:top w:val="single" w:sz="12" w:space="0" w:color="008000"/>
              <w:bottom w:val="single" w:sz="6" w:space="0" w:color="008000"/>
            </w:tcBorders>
          </w:tcPr>
          <w:p w:rsidR="00D9026F" w:rsidRPr="008D4DFC" w:rsidRDefault="00D9026F" w:rsidP="000B6E05">
            <w:pPr>
              <w:spacing w:before="60" w:after="60" w:line="240" w:lineRule="auto"/>
              <w:jc w:val="center"/>
              <w:rPr>
                <w:lang w:val="en-US"/>
              </w:rPr>
            </w:pPr>
            <w:r>
              <w:rPr>
                <w:lang w:val="en-US"/>
              </w:rPr>
              <w:t>a2</w:t>
            </w:r>
          </w:p>
        </w:tc>
        <w:tc>
          <w:tcPr>
            <w:tcW w:w="1259" w:type="dxa"/>
            <w:tcBorders>
              <w:top w:val="single" w:sz="12" w:space="0" w:color="008000"/>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a3</w:t>
            </w:r>
          </w:p>
        </w:tc>
        <w:tc>
          <w:tcPr>
            <w:tcW w:w="1263" w:type="dxa"/>
            <w:tcBorders>
              <w:top w:val="single" w:sz="12" w:space="0" w:color="008000"/>
              <w:left w:val="single" w:sz="4" w:space="0" w:color="auto"/>
              <w:bottom w:val="single" w:sz="6" w:space="0" w:color="008000"/>
            </w:tcBorders>
          </w:tcPr>
          <w:p w:rsidR="00D9026F" w:rsidRPr="008D4DFC" w:rsidRDefault="00D9026F" w:rsidP="000B6E05">
            <w:pPr>
              <w:spacing w:before="60" w:after="60" w:line="240" w:lineRule="auto"/>
              <w:jc w:val="center"/>
              <w:rPr>
                <w:lang w:val="en-US"/>
              </w:rPr>
            </w:pPr>
            <w:r>
              <w:rPr>
                <w:lang w:val="en-US"/>
              </w:rPr>
              <w:t>a1</w:t>
            </w:r>
          </w:p>
        </w:tc>
        <w:tc>
          <w:tcPr>
            <w:tcW w:w="1263" w:type="dxa"/>
            <w:tcBorders>
              <w:top w:val="single" w:sz="12" w:space="0" w:color="008000"/>
              <w:bottom w:val="single" w:sz="6" w:space="0" w:color="008000"/>
            </w:tcBorders>
          </w:tcPr>
          <w:p w:rsidR="00D9026F" w:rsidRPr="008D4DFC" w:rsidRDefault="00D9026F" w:rsidP="000B6E05">
            <w:pPr>
              <w:spacing w:before="60" w:after="60" w:line="240" w:lineRule="auto"/>
              <w:jc w:val="center"/>
              <w:rPr>
                <w:lang w:val="en-US"/>
              </w:rPr>
            </w:pPr>
            <w:r>
              <w:rPr>
                <w:lang w:val="en-US"/>
              </w:rPr>
              <w:t>a2</w:t>
            </w:r>
          </w:p>
        </w:tc>
        <w:tc>
          <w:tcPr>
            <w:tcW w:w="1304" w:type="dxa"/>
            <w:tcBorders>
              <w:top w:val="single" w:sz="12" w:space="0" w:color="008000"/>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a3</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EUR</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4E-02</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8E-05</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6E-07</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9E-01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2E-03</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4E-06</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USA</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3E-02</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5E-05</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0E-08</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9E-01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2E-04</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6E-07</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CAN</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4E-01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7E-02</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1E-04</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0E-01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0E-02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2E-05</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JPN</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6E-01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2E-03</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1E-05</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8E-01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6E-03</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4E-04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RUS</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4E-02</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6E-05</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5E-07</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5E-01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6E-03</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4E-05</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AUS</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1E-01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6E-03</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6E-05</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6E-01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2E-02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4E-04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CHN</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0E-02</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1E-05</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0E-08</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9E-02</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2E-04</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4E-07</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IND</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3E-01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5E-04</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6E-06</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9E-01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6E-03</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7E-05</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BRA</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5E+00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0E-03</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8E-03</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2E+00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1E-02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4E-04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MEX</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8E-01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2E-02</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7E-04</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4E+00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1E-03</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0E-04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ZAF</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8E-01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6E-03</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9E-05</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0E-02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5E-04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KOR</w:t>
            </w:r>
          </w:p>
        </w:tc>
        <w:tc>
          <w:tcPr>
            <w:tcW w:w="1493" w:type="dxa"/>
            <w:tcBorders>
              <w:left w:val="single" w:sz="4" w:space="0" w:color="auto"/>
            </w:tcBorders>
            <w:vAlign w:val="bottom"/>
          </w:tcPr>
          <w:p w:rsidR="00D9026F" w:rsidRPr="00226F94" w:rsidRDefault="00D9026F" w:rsidP="000B6E05">
            <w:pPr>
              <w:spacing w:before="60" w:after="60" w:line="240" w:lineRule="auto"/>
              <w:jc w:val="center"/>
              <w:rPr>
                <w:lang w:val="en-US"/>
              </w:rPr>
            </w:pPr>
            <w:r w:rsidRPr="00226F94">
              <w:rPr>
                <w:lang w:val="en-US"/>
              </w:rPr>
              <w:t>4</w:t>
            </w:r>
            <w:r>
              <w:rPr>
                <w:lang w:val="en-US"/>
              </w:rPr>
              <w:t>.</w:t>
            </w:r>
            <w:r w:rsidRPr="00226F94">
              <w:rPr>
                <w:lang w:val="en-US"/>
              </w:rPr>
              <w:t>4E-01</w:t>
            </w:r>
          </w:p>
        </w:tc>
        <w:tc>
          <w:tcPr>
            <w:tcW w:w="1322" w:type="dxa"/>
            <w:vAlign w:val="bottom"/>
          </w:tcPr>
          <w:p w:rsidR="00D9026F" w:rsidRPr="00226F94" w:rsidRDefault="00D9026F" w:rsidP="000B6E05">
            <w:pPr>
              <w:spacing w:before="60" w:after="60" w:line="240" w:lineRule="auto"/>
              <w:jc w:val="center"/>
              <w:rPr>
                <w:lang w:val="en-US"/>
              </w:rPr>
            </w:pPr>
            <w:r w:rsidRPr="00226F94">
              <w:rPr>
                <w:lang w:val="en-US"/>
              </w:rPr>
              <w:t>-7</w:t>
            </w:r>
            <w:r>
              <w:rPr>
                <w:lang w:val="en-US"/>
              </w:rPr>
              <w:t>.</w:t>
            </w:r>
            <w:r w:rsidRPr="00226F94">
              <w:rPr>
                <w:lang w:val="en-US"/>
              </w:rPr>
              <w:t>8E-03</w:t>
            </w:r>
          </w:p>
        </w:tc>
        <w:tc>
          <w:tcPr>
            <w:tcW w:w="1259" w:type="dxa"/>
            <w:tcBorders>
              <w:right w:val="single" w:sz="4" w:space="0" w:color="auto"/>
            </w:tcBorders>
            <w:vAlign w:val="bottom"/>
          </w:tcPr>
          <w:p w:rsidR="00D9026F" w:rsidRPr="00226F94" w:rsidRDefault="00D9026F" w:rsidP="000B6E05">
            <w:pPr>
              <w:spacing w:before="60" w:after="60" w:line="240" w:lineRule="auto"/>
              <w:jc w:val="center"/>
              <w:rPr>
                <w:lang w:val="en-US"/>
              </w:rPr>
            </w:pPr>
            <w:r w:rsidRPr="00226F94">
              <w:rPr>
                <w:lang w:val="en-US"/>
              </w:rPr>
              <w:t>1</w:t>
            </w:r>
            <w:r>
              <w:rPr>
                <w:lang w:val="en-US"/>
              </w:rPr>
              <w:t>.</w:t>
            </w:r>
            <w:r w:rsidRPr="00226F94">
              <w:rPr>
                <w:lang w:val="en-US"/>
              </w:rPr>
              <w:t>3E-04</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0E+00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4E-02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4E-02</w:t>
            </w:r>
          </w:p>
        </w:tc>
      </w:tr>
      <w:tr w:rsidR="00D9026F" w:rsidRPr="008D4DFC" w:rsidTr="000B6E05">
        <w:tc>
          <w:tcPr>
            <w:tcW w:w="1100" w:type="dxa"/>
            <w:tcBorders>
              <w:bottom w:val="single" w:sz="12" w:space="0" w:color="008000"/>
              <w:right w:val="single" w:sz="4" w:space="0" w:color="auto"/>
            </w:tcBorders>
          </w:tcPr>
          <w:p w:rsidR="00D9026F" w:rsidRPr="008D4DFC" w:rsidRDefault="00D9026F" w:rsidP="000B6E05">
            <w:pPr>
              <w:spacing w:before="60" w:after="60" w:line="240" w:lineRule="auto"/>
              <w:jc w:val="both"/>
              <w:rPr>
                <w:lang w:val="en-US"/>
              </w:rPr>
            </w:pPr>
            <w:r>
              <w:rPr>
                <w:lang w:val="en-US"/>
              </w:rPr>
              <w:t>ROW</w:t>
            </w:r>
          </w:p>
        </w:tc>
        <w:tc>
          <w:tcPr>
            <w:tcW w:w="1493" w:type="dxa"/>
            <w:tcBorders>
              <w:left w:val="single" w:sz="4" w:space="0" w:color="auto"/>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5E-02</w:t>
            </w:r>
          </w:p>
        </w:tc>
        <w:tc>
          <w:tcPr>
            <w:tcW w:w="1322" w:type="dxa"/>
            <w:tcBorders>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9E-07</w:t>
            </w:r>
          </w:p>
        </w:tc>
        <w:tc>
          <w:tcPr>
            <w:tcW w:w="1259" w:type="dxa"/>
            <w:tcBorders>
              <w:bottom w:val="single" w:sz="12" w:space="0" w:color="008000"/>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0E-08</w:t>
            </w:r>
          </w:p>
        </w:tc>
        <w:tc>
          <w:tcPr>
            <w:tcW w:w="1263" w:type="dxa"/>
            <w:tcBorders>
              <w:left w:val="single" w:sz="4" w:space="0" w:color="auto"/>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0E-02</w:t>
            </w:r>
          </w:p>
        </w:tc>
        <w:tc>
          <w:tcPr>
            <w:tcW w:w="1263" w:type="dxa"/>
            <w:tcBorders>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6E-06</w:t>
            </w:r>
          </w:p>
        </w:tc>
        <w:tc>
          <w:tcPr>
            <w:tcW w:w="1304" w:type="dxa"/>
            <w:tcBorders>
              <w:bottom w:val="single" w:sz="12" w:space="0" w:color="008000"/>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0E-08</w:t>
            </w:r>
          </w:p>
        </w:tc>
      </w:tr>
    </w:tbl>
    <w:p w:rsidR="00D9026F" w:rsidRDefault="00D9026F" w:rsidP="000B6E05">
      <w:pPr>
        <w:spacing w:before="120"/>
        <w:ind w:left="902" w:hanging="902"/>
        <w:jc w:val="both"/>
        <w:rPr>
          <w:bCs/>
          <w:lang w:val="en-US"/>
        </w:rPr>
      </w:pPr>
    </w:p>
    <w:p w:rsidR="00D9026F" w:rsidRDefault="00D9026F" w:rsidP="000B6E05">
      <w:pPr>
        <w:spacing w:before="120"/>
        <w:ind w:left="902" w:hanging="902"/>
        <w:jc w:val="both"/>
        <w:rPr>
          <w:bCs/>
          <w:lang w:val="en-US"/>
        </w:rPr>
      </w:pPr>
      <w:r>
        <w:rPr>
          <w:bCs/>
          <w:lang w:val="en-US"/>
        </w:rPr>
        <w:br w:type="page"/>
      </w:r>
    </w:p>
    <w:tbl>
      <w:tblPr>
        <w:tblW w:w="0" w:type="auto"/>
        <w:tblBorders>
          <w:top w:val="single" w:sz="12" w:space="0" w:color="008000"/>
          <w:bottom w:val="single" w:sz="12" w:space="0" w:color="008000"/>
        </w:tblBorders>
        <w:tblLook w:val="00A0" w:firstRow="1" w:lastRow="0" w:firstColumn="1" w:lastColumn="0" w:noHBand="0" w:noVBand="0"/>
      </w:tblPr>
      <w:tblGrid>
        <w:gridCol w:w="1100"/>
        <w:gridCol w:w="1493"/>
        <w:gridCol w:w="1322"/>
        <w:gridCol w:w="1259"/>
        <w:gridCol w:w="1263"/>
        <w:gridCol w:w="1263"/>
        <w:gridCol w:w="1304"/>
      </w:tblGrid>
      <w:tr w:rsidR="00D9026F" w:rsidRPr="008D4DFC" w:rsidTr="000B6E05">
        <w:tc>
          <w:tcPr>
            <w:tcW w:w="1100" w:type="dxa"/>
            <w:vMerge w:val="restart"/>
            <w:tcBorders>
              <w:top w:val="single" w:sz="12" w:space="0" w:color="008000"/>
              <w:right w:val="single" w:sz="4" w:space="0" w:color="auto"/>
            </w:tcBorders>
          </w:tcPr>
          <w:p w:rsidR="00D9026F" w:rsidRDefault="00D9026F" w:rsidP="000B6E05">
            <w:pPr>
              <w:spacing w:before="60" w:after="60" w:line="240" w:lineRule="auto"/>
              <w:jc w:val="both"/>
              <w:rPr>
                <w:lang w:val="en-US"/>
              </w:rPr>
            </w:pPr>
          </w:p>
          <w:p w:rsidR="00D9026F" w:rsidRPr="008D4DFC" w:rsidRDefault="00D9026F" w:rsidP="000B6E05">
            <w:pPr>
              <w:spacing w:before="60" w:after="60" w:line="240" w:lineRule="auto"/>
              <w:jc w:val="both"/>
              <w:rPr>
                <w:lang w:val="en-US"/>
              </w:rPr>
            </w:pPr>
            <w:r w:rsidRPr="008D4DFC">
              <w:rPr>
                <w:lang w:val="en-US"/>
              </w:rPr>
              <w:t>Region</w:t>
            </w:r>
          </w:p>
        </w:tc>
        <w:tc>
          <w:tcPr>
            <w:tcW w:w="4074" w:type="dxa"/>
            <w:gridSpan w:val="3"/>
            <w:tcBorders>
              <w:top w:val="single" w:sz="12" w:space="0" w:color="008000"/>
              <w:left w:val="single" w:sz="4" w:space="0" w:color="auto"/>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OTP</w:t>
            </w:r>
          </w:p>
        </w:tc>
        <w:tc>
          <w:tcPr>
            <w:tcW w:w="3830" w:type="dxa"/>
            <w:gridSpan w:val="3"/>
            <w:tcBorders>
              <w:top w:val="single" w:sz="12" w:space="0" w:color="008000"/>
              <w:left w:val="single" w:sz="4" w:space="0" w:color="auto"/>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WTP</w:t>
            </w:r>
          </w:p>
        </w:tc>
      </w:tr>
      <w:tr w:rsidR="00D9026F" w:rsidRPr="008D4DFC" w:rsidTr="000B6E05">
        <w:tc>
          <w:tcPr>
            <w:tcW w:w="1100" w:type="dxa"/>
            <w:vMerge/>
            <w:tcBorders>
              <w:bottom w:val="single" w:sz="6" w:space="0" w:color="008000"/>
              <w:right w:val="single" w:sz="4" w:space="0" w:color="auto"/>
            </w:tcBorders>
          </w:tcPr>
          <w:p w:rsidR="00D9026F" w:rsidRPr="008D4DFC" w:rsidRDefault="00D9026F" w:rsidP="000B6E05">
            <w:pPr>
              <w:spacing w:before="60" w:after="60" w:line="240" w:lineRule="auto"/>
              <w:jc w:val="both"/>
              <w:rPr>
                <w:lang w:val="en-US"/>
              </w:rPr>
            </w:pPr>
          </w:p>
        </w:tc>
        <w:tc>
          <w:tcPr>
            <w:tcW w:w="1493" w:type="dxa"/>
            <w:tcBorders>
              <w:top w:val="single" w:sz="12" w:space="0" w:color="008000"/>
              <w:left w:val="single" w:sz="4" w:space="0" w:color="auto"/>
              <w:bottom w:val="single" w:sz="6" w:space="0" w:color="008000"/>
            </w:tcBorders>
          </w:tcPr>
          <w:p w:rsidR="00D9026F" w:rsidRPr="008D4DFC" w:rsidRDefault="00D9026F" w:rsidP="000B6E05">
            <w:pPr>
              <w:spacing w:before="60" w:after="60" w:line="240" w:lineRule="auto"/>
              <w:jc w:val="center"/>
              <w:rPr>
                <w:lang w:val="en-US"/>
              </w:rPr>
            </w:pPr>
            <w:r>
              <w:rPr>
                <w:lang w:val="en-US"/>
              </w:rPr>
              <w:t>a1</w:t>
            </w:r>
          </w:p>
        </w:tc>
        <w:tc>
          <w:tcPr>
            <w:tcW w:w="1322" w:type="dxa"/>
            <w:tcBorders>
              <w:top w:val="single" w:sz="12" w:space="0" w:color="008000"/>
              <w:bottom w:val="single" w:sz="6" w:space="0" w:color="008000"/>
            </w:tcBorders>
          </w:tcPr>
          <w:p w:rsidR="00D9026F" w:rsidRPr="008D4DFC" w:rsidRDefault="00D9026F" w:rsidP="000B6E05">
            <w:pPr>
              <w:spacing w:before="60" w:after="60" w:line="240" w:lineRule="auto"/>
              <w:jc w:val="center"/>
              <w:rPr>
                <w:lang w:val="en-US"/>
              </w:rPr>
            </w:pPr>
            <w:r>
              <w:rPr>
                <w:lang w:val="en-US"/>
              </w:rPr>
              <w:t>a2</w:t>
            </w:r>
          </w:p>
        </w:tc>
        <w:tc>
          <w:tcPr>
            <w:tcW w:w="1259" w:type="dxa"/>
            <w:tcBorders>
              <w:top w:val="single" w:sz="12" w:space="0" w:color="008000"/>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a3</w:t>
            </w:r>
          </w:p>
        </w:tc>
        <w:tc>
          <w:tcPr>
            <w:tcW w:w="1263" w:type="dxa"/>
            <w:tcBorders>
              <w:top w:val="single" w:sz="12" w:space="0" w:color="008000"/>
              <w:left w:val="single" w:sz="4" w:space="0" w:color="auto"/>
              <w:bottom w:val="single" w:sz="6" w:space="0" w:color="008000"/>
            </w:tcBorders>
          </w:tcPr>
          <w:p w:rsidR="00D9026F" w:rsidRPr="008D4DFC" w:rsidRDefault="00D9026F" w:rsidP="000B6E05">
            <w:pPr>
              <w:spacing w:before="60" w:after="60" w:line="240" w:lineRule="auto"/>
              <w:jc w:val="center"/>
              <w:rPr>
                <w:lang w:val="en-US"/>
              </w:rPr>
            </w:pPr>
            <w:r>
              <w:rPr>
                <w:lang w:val="en-US"/>
              </w:rPr>
              <w:t>a1</w:t>
            </w:r>
          </w:p>
        </w:tc>
        <w:tc>
          <w:tcPr>
            <w:tcW w:w="1263" w:type="dxa"/>
            <w:tcBorders>
              <w:top w:val="single" w:sz="12" w:space="0" w:color="008000"/>
              <w:bottom w:val="single" w:sz="6" w:space="0" w:color="008000"/>
            </w:tcBorders>
          </w:tcPr>
          <w:p w:rsidR="00D9026F" w:rsidRPr="008D4DFC" w:rsidRDefault="00D9026F" w:rsidP="000B6E05">
            <w:pPr>
              <w:spacing w:before="60" w:after="60" w:line="240" w:lineRule="auto"/>
              <w:jc w:val="center"/>
              <w:rPr>
                <w:lang w:val="en-US"/>
              </w:rPr>
            </w:pPr>
            <w:r>
              <w:rPr>
                <w:lang w:val="en-US"/>
              </w:rPr>
              <w:t>a2</w:t>
            </w:r>
          </w:p>
        </w:tc>
        <w:tc>
          <w:tcPr>
            <w:tcW w:w="1304" w:type="dxa"/>
            <w:tcBorders>
              <w:top w:val="single" w:sz="12" w:space="0" w:color="008000"/>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a3</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EUR</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0E+00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3E-02</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2E-05</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3E-01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5E-03</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6E-04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USA</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0E+00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9E-03</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1E-05</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5E+01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1E+00</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2E-02</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CAN</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5E+00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1E-01</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1E-03</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2E+00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2E-01</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1E-01</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JPN</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7E+00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1E-01</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5E-03</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4E+01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7E-01</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0E-02</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RUS</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7E-01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2E-03</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3E-04</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4E+01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2E+00</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6E-01</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AUS</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5E+01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3E+00</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3E-01</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2E+03</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8E+03</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8E+02</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CHN</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0E-01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8E-02</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6E-05</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3E+00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0E-02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5E-05</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IND</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8E+00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7E-01</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3E-03</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5E+01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1E+00</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5E-02</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BRA</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5E+00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2E-01</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2E-03</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4E+00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7E-01</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2E-02</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MEX</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8E+00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1E-01</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6E-03</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4E+01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9E+01</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1E+01</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ZAF</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5E+01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5E+00</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5E-01</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0E+02</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5E+02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6E+02</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KOR</w:t>
            </w:r>
          </w:p>
        </w:tc>
        <w:tc>
          <w:tcPr>
            <w:tcW w:w="1493" w:type="dxa"/>
            <w:tcBorders>
              <w:left w:val="single" w:sz="4" w:space="0" w:color="auto"/>
            </w:tcBorders>
            <w:vAlign w:val="bottom"/>
          </w:tcPr>
          <w:p w:rsidR="00D9026F" w:rsidRPr="000072A2" w:rsidRDefault="00D9026F" w:rsidP="000B6E05">
            <w:pPr>
              <w:spacing w:before="60" w:after="60" w:line="240" w:lineRule="auto"/>
              <w:jc w:val="center"/>
              <w:rPr>
                <w:lang w:val="en-US"/>
              </w:rPr>
            </w:pPr>
            <w:r w:rsidRPr="00226F94">
              <w:rPr>
                <w:lang w:val="en-US"/>
              </w:rPr>
              <w:t>6</w:t>
            </w:r>
            <w:r>
              <w:rPr>
                <w:lang w:val="en-US"/>
              </w:rPr>
              <w:t>.</w:t>
            </w:r>
            <w:r w:rsidRPr="00226F94">
              <w:rPr>
                <w:lang w:val="en-US"/>
              </w:rPr>
              <w:t>6E-02</w:t>
            </w:r>
          </w:p>
        </w:tc>
        <w:tc>
          <w:tcPr>
            <w:tcW w:w="1322" w:type="dxa"/>
            <w:vAlign w:val="bottom"/>
          </w:tcPr>
          <w:p w:rsidR="00D9026F" w:rsidRPr="000072A2" w:rsidRDefault="00D9026F" w:rsidP="000B6E05">
            <w:pPr>
              <w:spacing w:before="60" w:after="60" w:line="240" w:lineRule="auto"/>
              <w:jc w:val="center"/>
              <w:rPr>
                <w:lang w:val="en-US"/>
              </w:rPr>
            </w:pPr>
            <w:r w:rsidRPr="00226F94">
              <w:rPr>
                <w:lang w:val="en-US"/>
              </w:rPr>
              <w:t>4</w:t>
            </w:r>
            <w:r>
              <w:rPr>
                <w:lang w:val="en-US"/>
              </w:rPr>
              <w:t>.</w:t>
            </w:r>
            <w:r w:rsidRPr="00226F94">
              <w:rPr>
                <w:lang w:val="en-US"/>
              </w:rPr>
              <w:t>1E-01</w:t>
            </w:r>
          </w:p>
        </w:tc>
        <w:tc>
          <w:tcPr>
            <w:tcW w:w="1259" w:type="dxa"/>
            <w:tcBorders>
              <w:right w:val="single" w:sz="4" w:space="0" w:color="auto"/>
            </w:tcBorders>
            <w:vAlign w:val="bottom"/>
          </w:tcPr>
          <w:p w:rsidR="00D9026F" w:rsidRPr="000072A2" w:rsidRDefault="00D9026F" w:rsidP="000B6E05">
            <w:pPr>
              <w:spacing w:before="60" w:after="60" w:line="240" w:lineRule="auto"/>
              <w:jc w:val="center"/>
              <w:rPr>
                <w:lang w:val="en-US"/>
              </w:rPr>
            </w:pPr>
            <w:r w:rsidRPr="00226F94">
              <w:rPr>
                <w:lang w:val="en-US"/>
              </w:rPr>
              <w:t>3</w:t>
            </w:r>
            <w:r>
              <w:rPr>
                <w:lang w:val="en-US"/>
              </w:rPr>
              <w:t>.</w:t>
            </w:r>
            <w:r w:rsidRPr="00226F94">
              <w:rPr>
                <w:lang w:val="en-US"/>
              </w:rPr>
              <w:t>5E-02</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0E+01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8E+00</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6E-02</w:t>
            </w:r>
          </w:p>
        </w:tc>
      </w:tr>
      <w:tr w:rsidR="00D9026F" w:rsidRPr="008D4DFC" w:rsidTr="000B6E05">
        <w:tc>
          <w:tcPr>
            <w:tcW w:w="1100" w:type="dxa"/>
            <w:tcBorders>
              <w:bottom w:val="single" w:sz="12" w:space="0" w:color="008000"/>
              <w:right w:val="single" w:sz="4" w:space="0" w:color="auto"/>
            </w:tcBorders>
          </w:tcPr>
          <w:p w:rsidR="00D9026F" w:rsidRPr="008D4DFC" w:rsidRDefault="00D9026F" w:rsidP="000B6E05">
            <w:pPr>
              <w:spacing w:before="60" w:after="60" w:line="240" w:lineRule="auto"/>
              <w:jc w:val="both"/>
              <w:rPr>
                <w:lang w:val="en-US"/>
              </w:rPr>
            </w:pPr>
            <w:r>
              <w:rPr>
                <w:lang w:val="en-US"/>
              </w:rPr>
              <w:t>ROW</w:t>
            </w:r>
          </w:p>
        </w:tc>
        <w:tc>
          <w:tcPr>
            <w:tcW w:w="1493" w:type="dxa"/>
            <w:tcBorders>
              <w:left w:val="single" w:sz="4" w:space="0" w:color="auto"/>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1E-01</w:t>
            </w:r>
          </w:p>
        </w:tc>
        <w:tc>
          <w:tcPr>
            <w:tcW w:w="1322" w:type="dxa"/>
            <w:tcBorders>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6E-03</w:t>
            </w:r>
          </w:p>
        </w:tc>
        <w:tc>
          <w:tcPr>
            <w:tcW w:w="1259" w:type="dxa"/>
            <w:tcBorders>
              <w:bottom w:val="single" w:sz="12" w:space="0" w:color="008000"/>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1E-06</w:t>
            </w:r>
          </w:p>
        </w:tc>
        <w:tc>
          <w:tcPr>
            <w:tcW w:w="1263" w:type="dxa"/>
            <w:tcBorders>
              <w:left w:val="single" w:sz="4" w:space="0" w:color="auto"/>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4E+00</w:t>
            </w:r>
          </w:p>
        </w:tc>
        <w:tc>
          <w:tcPr>
            <w:tcW w:w="1263" w:type="dxa"/>
            <w:tcBorders>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7E-03</w:t>
            </w:r>
          </w:p>
        </w:tc>
        <w:tc>
          <w:tcPr>
            <w:tcW w:w="1304" w:type="dxa"/>
            <w:tcBorders>
              <w:bottom w:val="single" w:sz="12" w:space="0" w:color="008000"/>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7E-05</w:t>
            </w:r>
          </w:p>
        </w:tc>
      </w:tr>
    </w:tbl>
    <w:p w:rsidR="00D9026F" w:rsidRDefault="00D9026F" w:rsidP="000B6E05">
      <w:pPr>
        <w:spacing w:before="120"/>
        <w:ind w:left="902" w:hanging="902"/>
        <w:jc w:val="both"/>
        <w:rPr>
          <w:bCs/>
          <w:lang w:val="en-US"/>
        </w:rPr>
      </w:pPr>
    </w:p>
    <w:tbl>
      <w:tblPr>
        <w:tblW w:w="0" w:type="auto"/>
        <w:tblBorders>
          <w:top w:val="single" w:sz="12" w:space="0" w:color="008000"/>
          <w:bottom w:val="single" w:sz="12" w:space="0" w:color="008000"/>
        </w:tblBorders>
        <w:tblLook w:val="00A0" w:firstRow="1" w:lastRow="0" w:firstColumn="1" w:lastColumn="0" w:noHBand="0" w:noVBand="0"/>
      </w:tblPr>
      <w:tblGrid>
        <w:gridCol w:w="1100"/>
        <w:gridCol w:w="1493"/>
        <w:gridCol w:w="1322"/>
        <w:gridCol w:w="1259"/>
        <w:gridCol w:w="1263"/>
        <w:gridCol w:w="1263"/>
        <w:gridCol w:w="1304"/>
      </w:tblGrid>
      <w:tr w:rsidR="00D9026F" w:rsidRPr="008D4DFC" w:rsidTr="000B6E05">
        <w:tc>
          <w:tcPr>
            <w:tcW w:w="1100" w:type="dxa"/>
            <w:vMerge w:val="restart"/>
            <w:tcBorders>
              <w:top w:val="single" w:sz="12" w:space="0" w:color="008000"/>
              <w:right w:val="single" w:sz="4" w:space="0" w:color="auto"/>
            </w:tcBorders>
          </w:tcPr>
          <w:p w:rsidR="00D9026F" w:rsidRDefault="00D9026F" w:rsidP="000B6E05">
            <w:pPr>
              <w:spacing w:before="60" w:after="60" w:line="240" w:lineRule="auto"/>
              <w:jc w:val="both"/>
              <w:rPr>
                <w:lang w:val="en-US"/>
              </w:rPr>
            </w:pPr>
          </w:p>
          <w:p w:rsidR="00D9026F" w:rsidRPr="008D4DFC" w:rsidRDefault="00D9026F" w:rsidP="000B6E05">
            <w:pPr>
              <w:spacing w:before="60" w:after="60" w:line="240" w:lineRule="auto"/>
              <w:jc w:val="both"/>
              <w:rPr>
                <w:lang w:val="en-US"/>
              </w:rPr>
            </w:pPr>
            <w:r w:rsidRPr="008D4DFC">
              <w:rPr>
                <w:lang w:val="en-US"/>
              </w:rPr>
              <w:t>Region</w:t>
            </w:r>
          </w:p>
        </w:tc>
        <w:tc>
          <w:tcPr>
            <w:tcW w:w="4074" w:type="dxa"/>
            <w:gridSpan w:val="3"/>
            <w:tcBorders>
              <w:top w:val="single" w:sz="12" w:space="0" w:color="008000"/>
              <w:left w:val="single" w:sz="4" w:space="0" w:color="auto"/>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ROI</w:t>
            </w:r>
          </w:p>
        </w:tc>
        <w:tc>
          <w:tcPr>
            <w:tcW w:w="3830" w:type="dxa"/>
            <w:gridSpan w:val="3"/>
            <w:tcBorders>
              <w:top w:val="single" w:sz="12" w:space="0" w:color="008000"/>
              <w:left w:val="single" w:sz="4" w:space="0" w:color="auto"/>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C</w:t>
            </w:r>
          </w:p>
        </w:tc>
      </w:tr>
      <w:tr w:rsidR="00D9026F" w:rsidRPr="008D4DFC" w:rsidTr="000B6E05">
        <w:tc>
          <w:tcPr>
            <w:tcW w:w="1100" w:type="dxa"/>
            <w:vMerge/>
            <w:tcBorders>
              <w:bottom w:val="single" w:sz="6" w:space="0" w:color="008000"/>
              <w:right w:val="single" w:sz="4" w:space="0" w:color="auto"/>
            </w:tcBorders>
          </w:tcPr>
          <w:p w:rsidR="00D9026F" w:rsidRPr="008D4DFC" w:rsidRDefault="00D9026F" w:rsidP="000B6E05">
            <w:pPr>
              <w:spacing w:before="60" w:after="60" w:line="240" w:lineRule="auto"/>
              <w:jc w:val="both"/>
              <w:rPr>
                <w:lang w:val="en-US"/>
              </w:rPr>
            </w:pPr>
          </w:p>
        </w:tc>
        <w:tc>
          <w:tcPr>
            <w:tcW w:w="1493" w:type="dxa"/>
            <w:tcBorders>
              <w:top w:val="single" w:sz="12" w:space="0" w:color="008000"/>
              <w:left w:val="single" w:sz="4" w:space="0" w:color="auto"/>
              <w:bottom w:val="single" w:sz="6" w:space="0" w:color="008000"/>
            </w:tcBorders>
          </w:tcPr>
          <w:p w:rsidR="00D9026F" w:rsidRPr="008D4DFC" w:rsidRDefault="00D9026F" w:rsidP="000B6E05">
            <w:pPr>
              <w:spacing w:before="60" w:after="60" w:line="240" w:lineRule="auto"/>
              <w:jc w:val="center"/>
              <w:rPr>
                <w:lang w:val="en-US"/>
              </w:rPr>
            </w:pPr>
            <w:r>
              <w:rPr>
                <w:lang w:val="en-US"/>
              </w:rPr>
              <w:t>a1</w:t>
            </w:r>
          </w:p>
        </w:tc>
        <w:tc>
          <w:tcPr>
            <w:tcW w:w="1322" w:type="dxa"/>
            <w:tcBorders>
              <w:top w:val="single" w:sz="12" w:space="0" w:color="008000"/>
              <w:bottom w:val="single" w:sz="6" w:space="0" w:color="008000"/>
            </w:tcBorders>
          </w:tcPr>
          <w:p w:rsidR="00D9026F" w:rsidRPr="008D4DFC" w:rsidRDefault="00D9026F" w:rsidP="000B6E05">
            <w:pPr>
              <w:spacing w:before="60" w:after="60" w:line="240" w:lineRule="auto"/>
              <w:jc w:val="center"/>
              <w:rPr>
                <w:lang w:val="en-US"/>
              </w:rPr>
            </w:pPr>
            <w:r>
              <w:rPr>
                <w:lang w:val="en-US"/>
              </w:rPr>
              <w:t>a2</w:t>
            </w:r>
          </w:p>
        </w:tc>
        <w:tc>
          <w:tcPr>
            <w:tcW w:w="1259" w:type="dxa"/>
            <w:tcBorders>
              <w:top w:val="single" w:sz="12" w:space="0" w:color="008000"/>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a3</w:t>
            </w:r>
          </w:p>
        </w:tc>
        <w:tc>
          <w:tcPr>
            <w:tcW w:w="1263" w:type="dxa"/>
            <w:tcBorders>
              <w:top w:val="single" w:sz="12" w:space="0" w:color="008000"/>
              <w:left w:val="single" w:sz="4" w:space="0" w:color="auto"/>
              <w:bottom w:val="single" w:sz="6" w:space="0" w:color="008000"/>
            </w:tcBorders>
          </w:tcPr>
          <w:p w:rsidR="00D9026F" w:rsidRPr="008D4DFC" w:rsidRDefault="00D9026F" w:rsidP="000B6E05">
            <w:pPr>
              <w:spacing w:before="60" w:after="60" w:line="240" w:lineRule="auto"/>
              <w:jc w:val="center"/>
              <w:rPr>
                <w:lang w:val="en-US"/>
              </w:rPr>
            </w:pPr>
            <w:r>
              <w:rPr>
                <w:lang w:val="en-US"/>
              </w:rPr>
              <w:t>a1</w:t>
            </w:r>
          </w:p>
        </w:tc>
        <w:tc>
          <w:tcPr>
            <w:tcW w:w="1263" w:type="dxa"/>
            <w:tcBorders>
              <w:top w:val="single" w:sz="12" w:space="0" w:color="008000"/>
              <w:bottom w:val="single" w:sz="6" w:space="0" w:color="008000"/>
            </w:tcBorders>
          </w:tcPr>
          <w:p w:rsidR="00D9026F" w:rsidRPr="008D4DFC" w:rsidRDefault="00D9026F" w:rsidP="000B6E05">
            <w:pPr>
              <w:spacing w:before="60" w:after="60" w:line="240" w:lineRule="auto"/>
              <w:jc w:val="center"/>
              <w:rPr>
                <w:lang w:val="en-US"/>
              </w:rPr>
            </w:pPr>
            <w:r>
              <w:rPr>
                <w:lang w:val="en-US"/>
              </w:rPr>
              <w:t>a2</w:t>
            </w:r>
          </w:p>
        </w:tc>
        <w:tc>
          <w:tcPr>
            <w:tcW w:w="1304" w:type="dxa"/>
            <w:tcBorders>
              <w:top w:val="single" w:sz="12" w:space="0" w:color="008000"/>
              <w:bottom w:val="single" w:sz="6" w:space="0" w:color="008000"/>
              <w:right w:val="single" w:sz="4" w:space="0" w:color="auto"/>
            </w:tcBorders>
          </w:tcPr>
          <w:p w:rsidR="00D9026F" w:rsidRPr="008D4DFC" w:rsidRDefault="00D9026F" w:rsidP="000B6E05">
            <w:pPr>
              <w:spacing w:before="60" w:after="60" w:line="240" w:lineRule="auto"/>
              <w:jc w:val="center"/>
              <w:rPr>
                <w:lang w:val="en-US"/>
              </w:rPr>
            </w:pPr>
            <w:r>
              <w:rPr>
                <w:lang w:val="en-US"/>
              </w:rPr>
              <w:t>a3</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EUR</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7E-01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1E-03</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1E-05</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2E-01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1E-04</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8E-06</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USA</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5E-01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2E-04</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1E-05</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3E-01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6E-04</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4E-07</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CAN</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6E+00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4E-02</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3E-03</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4E+00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7E-02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3E-04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JPN</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7E+00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1E-02</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1E-03</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4E+00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4E-02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0E-04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RUS</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2E+00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1E-02</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3E-03</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9E-01</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9E-04</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4E-05</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AUS</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9E+01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5E+00</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0E+00</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7E+00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2E-01</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8E-03</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CHN</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1E-01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4E-03</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7E-05</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8</w:t>
            </w:r>
            <w:r>
              <w:rPr>
                <w:lang w:val="en-US"/>
              </w:rPr>
              <w:t>.</w:t>
            </w:r>
            <w:r w:rsidRPr="00226F94">
              <w:rPr>
                <w:lang w:val="en-US"/>
              </w:rPr>
              <w:t>9E-02</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2E-05</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3E-06</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IND</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1E+00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7E+00</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8E-01</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5E-02</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0E-04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BRA</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7E+00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6</w:t>
            </w:r>
            <w:r>
              <w:rPr>
                <w:lang w:val="en-US"/>
              </w:rPr>
              <w:t>.</w:t>
            </w:r>
            <w:r w:rsidRPr="00226F94">
              <w:rPr>
                <w:lang w:val="en-US"/>
              </w:rPr>
              <w:t>7E-01</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6E-02</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3E+00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5E-01</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9E-04</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MEX</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4E+01</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4E-01</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1E-01</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6E+00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0E-02</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3E-03</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ZAF</w:t>
            </w:r>
          </w:p>
        </w:tc>
        <w:tc>
          <w:tcPr>
            <w:tcW w:w="149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9</w:t>
            </w:r>
            <w:r>
              <w:rPr>
                <w:lang w:val="en-US"/>
              </w:rPr>
              <w:t>.</w:t>
            </w:r>
            <w:r w:rsidRPr="00226F94">
              <w:rPr>
                <w:lang w:val="en-US"/>
              </w:rPr>
              <w:t>1E+00</w:t>
            </w:r>
          </w:p>
        </w:tc>
        <w:tc>
          <w:tcPr>
            <w:tcW w:w="1322" w:type="dxa"/>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8E+00</w:t>
            </w:r>
          </w:p>
        </w:tc>
        <w:tc>
          <w:tcPr>
            <w:tcW w:w="1259"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5</w:t>
            </w:r>
            <w:r>
              <w:rPr>
                <w:lang w:val="en-US"/>
              </w:rPr>
              <w:t>.</w:t>
            </w:r>
            <w:r w:rsidRPr="00226F94">
              <w:rPr>
                <w:lang w:val="en-US"/>
              </w:rPr>
              <w:t>3E-01</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7E+00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6E-01</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8E-02</w:t>
            </w:r>
          </w:p>
        </w:tc>
      </w:tr>
      <w:tr w:rsidR="00D9026F" w:rsidRPr="008D4DFC" w:rsidTr="000B6E05">
        <w:tc>
          <w:tcPr>
            <w:tcW w:w="1100" w:type="dxa"/>
            <w:tcBorders>
              <w:right w:val="single" w:sz="4" w:space="0" w:color="auto"/>
            </w:tcBorders>
          </w:tcPr>
          <w:p w:rsidR="00D9026F" w:rsidRPr="008D4DFC" w:rsidRDefault="00D9026F" w:rsidP="000B6E05">
            <w:pPr>
              <w:spacing w:before="60" w:after="60" w:line="240" w:lineRule="auto"/>
              <w:jc w:val="both"/>
              <w:rPr>
                <w:lang w:val="en-US"/>
              </w:rPr>
            </w:pPr>
            <w:r w:rsidRPr="008D4DFC">
              <w:rPr>
                <w:lang w:val="en-US"/>
              </w:rPr>
              <w:t>KOR</w:t>
            </w:r>
          </w:p>
        </w:tc>
        <w:tc>
          <w:tcPr>
            <w:tcW w:w="1493" w:type="dxa"/>
            <w:tcBorders>
              <w:left w:val="single" w:sz="4" w:space="0" w:color="auto"/>
            </w:tcBorders>
            <w:vAlign w:val="bottom"/>
          </w:tcPr>
          <w:p w:rsidR="00D9026F" w:rsidRPr="000072A2" w:rsidRDefault="00D9026F" w:rsidP="000B6E05">
            <w:pPr>
              <w:spacing w:before="60" w:after="60" w:line="240" w:lineRule="auto"/>
              <w:jc w:val="center"/>
              <w:rPr>
                <w:lang w:val="en-US"/>
              </w:rPr>
            </w:pPr>
            <w:r w:rsidRPr="00226F94">
              <w:rPr>
                <w:lang w:val="en-US"/>
              </w:rPr>
              <w:t>8</w:t>
            </w:r>
            <w:r>
              <w:rPr>
                <w:lang w:val="en-US"/>
              </w:rPr>
              <w:t>.</w:t>
            </w:r>
            <w:r w:rsidRPr="00226F94">
              <w:rPr>
                <w:lang w:val="en-US"/>
              </w:rPr>
              <w:t>6E+00</w:t>
            </w:r>
          </w:p>
        </w:tc>
        <w:tc>
          <w:tcPr>
            <w:tcW w:w="1322" w:type="dxa"/>
            <w:vAlign w:val="bottom"/>
          </w:tcPr>
          <w:p w:rsidR="00D9026F" w:rsidRPr="000072A2" w:rsidRDefault="00D9026F" w:rsidP="000B6E05">
            <w:pPr>
              <w:spacing w:before="60" w:after="60" w:line="240" w:lineRule="auto"/>
              <w:jc w:val="center"/>
              <w:rPr>
                <w:lang w:val="en-US"/>
              </w:rPr>
            </w:pPr>
            <w:r w:rsidRPr="00226F94">
              <w:rPr>
                <w:lang w:val="en-US"/>
              </w:rPr>
              <w:t>9</w:t>
            </w:r>
            <w:r>
              <w:rPr>
                <w:lang w:val="en-US"/>
              </w:rPr>
              <w:t>.</w:t>
            </w:r>
            <w:r w:rsidRPr="00226F94">
              <w:rPr>
                <w:lang w:val="en-US"/>
              </w:rPr>
              <w:t>3E-01</w:t>
            </w:r>
          </w:p>
        </w:tc>
        <w:tc>
          <w:tcPr>
            <w:tcW w:w="1259" w:type="dxa"/>
            <w:tcBorders>
              <w:right w:val="single" w:sz="4" w:space="0" w:color="auto"/>
            </w:tcBorders>
            <w:vAlign w:val="bottom"/>
          </w:tcPr>
          <w:p w:rsidR="00D9026F" w:rsidRPr="000072A2" w:rsidRDefault="00D9026F" w:rsidP="000B6E05">
            <w:pPr>
              <w:spacing w:before="60" w:after="60" w:line="240" w:lineRule="auto"/>
              <w:jc w:val="center"/>
              <w:rPr>
                <w:lang w:val="en-US"/>
              </w:rPr>
            </w:pPr>
            <w:r w:rsidRPr="00226F94">
              <w:rPr>
                <w:lang w:val="en-US"/>
              </w:rPr>
              <w:t>1</w:t>
            </w:r>
            <w:r>
              <w:rPr>
                <w:lang w:val="en-US"/>
              </w:rPr>
              <w:t>.</w:t>
            </w:r>
            <w:r w:rsidRPr="00226F94">
              <w:rPr>
                <w:lang w:val="en-US"/>
              </w:rPr>
              <w:t>8E-02</w:t>
            </w:r>
          </w:p>
        </w:tc>
        <w:tc>
          <w:tcPr>
            <w:tcW w:w="1263" w:type="dxa"/>
            <w:tcBorders>
              <w:lef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3E+00</w:t>
            </w:r>
          </w:p>
        </w:tc>
        <w:tc>
          <w:tcPr>
            <w:tcW w:w="1263" w:type="dxa"/>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4E-01</w:t>
            </w:r>
          </w:p>
        </w:tc>
        <w:tc>
          <w:tcPr>
            <w:tcW w:w="1304" w:type="dxa"/>
            <w:tcBorders>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4</w:t>
            </w:r>
            <w:r>
              <w:rPr>
                <w:lang w:val="en-US"/>
              </w:rPr>
              <w:t>.</w:t>
            </w:r>
            <w:r w:rsidRPr="00226F94">
              <w:rPr>
                <w:lang w:val="en-US"/>
              </w:rPr>
              <w:t>2E-03</w:t>
            </w:r>
          </w:p>
        </w:tc>
      </w:tr>
      <w:tr w:rsidR="00D9026F" w:rsidRPr="008D4DFC" w:rsidTr="000B6E05">
        <w:tc>
          <w:tcPr>
            <w:tcW w:w="1100" w:type="dxa"/>
            <w:tcBorders>
              <w:bottom w:val="single" w:sz="12" w:space="0" w:color="008000"/>
              <w:right w:val="single" w:sz="4" w:space="0" w:color="auto"/>
            </w:tcBorders>
          </w:tcPr>
          <w:p w:rsidR="00D9026F" w:rsidRPr="008D4DFC" w:rsidRDefault="00D9026F" w:rsidP="000B6E05">
            <w:pPr>
              <w:spacing w:before="60" w:after="60" w:line="240" w:lineRule="auto"/>
              <w:jc w:val="both"/>
              <w:rPr>
                <w:lang w:val="en-US"/>
              </w:rPr>
            </w:pPr>
            <w:r>
              <w:rPr>
                <w:lang w:val="en-US"/>
              </w:rPr>
              <w:t>ROW</w:t>
            </w:r>
          </w:p>
        </w:tc>
        <w:tc>
          <w:tcPr>
            <w:tcW w:w="1493" w:type="dxa"/>
            <w:tcBorders>
              <w:left w:val="single" w:sz="4" w:space="0" w:color="auto"/>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5E-01</w:t>
            </w:r>
          </w:p>
        </w:tc>
        <w:tc>
          <w:tcPr>
            <w:tcW w:w="1322" w:type="dxa"/>
            <w:tcBorders>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7</w:t>
            </w:r>
            <w:r>
              <w:rPr>
                <w:lang w:val="en-US"/>
              </w:rPr>
              <w:t>.</w:t>
            </w:r>
            <w:r w:rsidRPr="00226F94">
              <w:rPr>
                <w:lang w:val="en-US"/>
              </w:rPr>
              <w:t>2E-05</w:t>
            </w:r>
          </w:p>
        </w:tc>
        <w:tc>
          <w:tcPr>
            <w:tcW w:w="1259" w:type="dxa"/>
            <w:tcBorders>
              <w:bottom w:val="single" w:sz="12" w:space="0" w:color="008000"/>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5E-06</w:t>
            </w:r>
          </w:p>
        </w:tc>
        <w:tc>
          <w:tcPr>
            <w:tcW w:w="1263" w:type="dxa"/>
            <w:tcBorders>
              <w:left w:val="single" w:sz="4" w:space="0" w:color="auto"/>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1</w:t>
            </w:r>
            <w:r>
              <w:rPr>
                <w:lang w:val="en-US"/>
              </w:rPr>
              <w:t>.</w:t>
            </w:r>
            <w:r w:rsidRPr="00226F94">
              <w:rPr>
                <w:lang w:val="en-US"/>
              </w:rPr>
              <w:t>3E-01</w:t>
            </w:r>
          </w:p>
        </w:tc>
        <w:tc>
          <w:tcPr>
            <w:tcW w:w="1263" w:type="dxa"/>
            <w:tcBorders>
              <w:bottom w:val="single" w:sz="12" w:space="0" w:color="008000"/>
            </w:tcBorders>
            <w:vAlign w:val="bottom"/>
          </w:tcPr>
          <w:p w:rsidR="00D9026F" w:rsidRPr="008D4DFC" w:rsidRDefault="00D9026F" w:rsidP="000B6E05">
            <w:pPr>
              <w:spacing w:before="60" w:after="60" w:line="240" w:lineRule="auto"/>
              <w:jc w:val="center"/>
              <w:rPr>
                <w:lang w:val="en-US"/>
              </w:rPr>
            </w:pPr>
            <w:r w:rsidRPr="00226F94">
              <w:rPr>
                <w:lang w:val="en-US"/>
              </w:rPr>
              <w:t>2</w:t>
            </w:r>
            <w:r>
              <w:rPr>
                <w:lang w:val="en-US"/>
              </w:rPr>
              <w:t>.</w:t>
            </w:r>
            <w:r w:rsidRPr="00226F94">
              <w:rPr>
                <w:lang w:val="en-US"/>
              </w:rPr>
              <w:t>3E-04</w:t>
            </w:r>
          </w:p>
        </w:tc>
        <w:tc>
          <w:tcPr>
            <w:tcW w:w="1304" w:type="dxa"/>
            <w:tcBorders>
              <w:bottom w:val="single" w:sz="12" w:space="0" w:color="008000"/>
              <w:right w:val="single" w:sz="4" w:space="0" w:color="auto"/>
            </w:tcBorders>
            <w:vAlign w:val="bottom"/>
          </w:tcPr>
          <w:p w:rsidR="00D9026F" w:rsidRPr="008D4DFC" w:rsidRDefault="00D9026F" w:rsidP="000B6E05">
            <w:pPr>
              <w:spacing w:before="60" w:after="60" w:line="240" w:lineRule="auto"/>
              <w:jc w:val="center"/>
              <w:rPr>
                <w:lang w:val="en-US"/>
              </w:rPr>
            </w:pPr>
            <w:r w:rsidRPr="00226F94">
              <w:rPr>
                <w:lang w:val="en-US"/>
              </w:rPr>
              <w:t>3</w:t>
            </w:r>
            <w:r>
              <w:rPr>
                <w:lang w:val="en-US"/>
              </w:rPr>
              <w:t>.</w:t>
            </w:r>
            <w:r w:rsidRPr="00226F94">
              <w:rPr>
                <w:lang w:val="en-US"/>
              </w:rPr>
              <w:t>6E-07</w:t>
            </w:r>
          </w:p>
        </w:tc>
      </w:tr>
    </w:tbl>
    <w:p w:rsidR="00D9026F" w:rsidRPr="008D4DFC" w:rsidRDefault="00D9026F" w:rsidP="000B6E05">
      <w:pPr>
        <w:spacing w:before="120"/>
        <w:ind w:left="902" w:hanging="902"/>
        <w:jc w:val="both"/>
        <w:rPr>
          <w:bCs/>
          <w:lang w:val="en-US"/>
        </w:rPr>
      </w:pPr>
    </w:p>
    <w:p w:rsidR="00D9026F" w:rsidRDefault="00D9026F" w:rsidP="000B6E05">
      <w:pPr>
        <w:jc w:val="both"/>
        <w:rPr>
          <w:lang w:val="en-US"/>
        </w:rPr>
      </w:pPr>
    </w:p>
    <w:p w:rsidR="00D9026F" w:rsidRPr="00014F22" w:rsidRDefault="00D9026F" w:rsidP="00014F22">
      <w:pPr>
        <w:spacing w:before="240" w:after="120"/>
        <w:jc w:val="both"/>
        <w:rPr>
          <w:bCs/>
          <w:lang w:val="en-US"/>
        </w:rPr>
      </w:pPr>
      <w:r w:rsidRPr="00014F22">
        <w:rPr>
          <w:bCs/>
          <w:lang w:val="en-US"/>
        </w:rPr>
        <w:lastRenderedPageBreak/>
        <w:t xml:space="preserve">Figure B1: Marginal abatement cost curves for the ELE sector in selected countries. </w:t>
      </w:r>
    </w:p>
    <w:p w:rsidR="00D9026F" w:rsidRPr="00B07A56" w:rsidRDefault="0083505D" w:rsidP="000B6E05">
      <w:pPr>
        <w:spacing w:after="120"/>
        <w:ind w:left="284" w:hanging="284"/>
        <w:jc w:val="both"/>
        <w:rPr>
          <w:noProof/>
        </w:rPr>
      </w:pPr>
      <w:r>
        <w:rPr>
          <w:noProof/>
          <w:lang w:val="en-GB" w:eastAsia="en-GB"/>
        </w:rPr>
        <w:drawing>
          <wp:inline distT="0" distB="0" distL="0" distR="0">
            <wp:extent cx="5029200" cy="328676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29200" cy="3286760"/>
                    </a:xfrm>
                    <a:prstGeom prst="rect">
                      <a:avLst/>
                    </a:prstGeom>
                    <a:noFill/>
                    <a:ln>
                      <a:noFill/>
                    </a:ln>
                  </pic:spPr>
                </pic:pic>
              </a:graphicData>
            </a:graphic>
          </wp:inline>
        </w:drawing>
      </w:r>
    </w:p>
    <w:p w:rsidR="00D9026F" w:rsidRDefault="00D9026F" w:rsidP="000B6E05">
      <w:pPr>
        <w:spacing w:after="120"/>
        <w:ind w:left="284" w:hanging="284"/>
        <w:jc w:val="both"/>
        <w:rPr>
          <w:lang w:val="en-US"/>
        </w:rPr>
      </w:pPr>
    </w:p>
    <w:p w:rsidR="00D9026F" w:rsidRPr="00014F22" w:rsidRDefault="00D9026F" w:rsidP="00014F22">
      <w:pPr>
        <w:spacing w:before="240" w:after="120"/>
        <w:jc w:val="both"/>
        <w:rPr>
          <w:bCs/>
          <w:lang w:val="en-US"/>
        </w:rPr>
      </w:pPr>
      <w:r w:rsidRPr="00014F22">
        <w:rPr>
          <w:bCs/>
          <w:lang w:val="en-US"/>
        </w:rPr>
        <w:t xml:space="preserve">Figure B2: Marginal abatement cost curves for the EIS sector in selected countries. </w:t>
      </w:r>
    </w:p>
    <w:p w:rsidR="00D9026F" w:rsidRPr="00B07A56" w:rsidRDefault="0083505D" w:rsidP="000B6E05">
      <w:pPr>
        <w:spacing w:after="120"/>
        <w:ind w:left="284" w:hanging="284"/>
        <w:jc w:val="both"/>
        <w:rPr>
          <w:noProof/>
        </w:rPr>
      </w:pPr>
      <w:r>
        <w:rPr>
          <w:noProof/>
          <w:lang w:val="en-GB" w:eastAsia="en-GB"/>
        </w:rPr>
        <w:drawing>
          <wp:inline distT="0" distB="0" distL="0" distR="0">
            <wp:extent cx="5029200" cy="328676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29200" cy="3286760"/>
                    </a:xfrm>
                    <a:prstGeom prst="rect">
                      <a:avLst/>
                    </a:prstGeom>
                    <a:noFill/>
                    <a:ln>
                      <a:noFill/>
                    </a:ln>
                  </pic:spPr>
                </pic:pic>
              </a:graphicData>
            </a:graphic>
          </wp:inline>
        </w:drawing>
      </w:r>
    </w:p>
    <w:p w:rsidR="00D9026F" w:rsidRPr="00E5200F" w:rsidRDefault="00D9026F" w:rsidP="00E5200F">
      <w:pPr>
        <w:pStyle w:val="Heading1"/>
        <w:jc w:val="both"/>
        <w:rPr>
          <w:lang w:val="en-US"/>
        </w:rPr>
      </w:pPr>
      <w:r w:rsidRPr="00E5200F">
        <w:rPr>
          <w:lang w:val="en-US"/>
        </w:rPr>
        <w:lastRenderedPageBreak/>
        <w:t>Appendix C: Specification of emission reduction targets</w:t>
      </w:r>
    </w:p>
    <w:p w:rsidR="00D9026F" w:rsidRPr="008D4DFC" w:rsidRDefault="00D9026F" w:rsidP="009C4D7C">
      <w:pPr>
        <w:jc w:val="both"/>
        <w:rPr>
          <w:lang w:val="en-US"/>
        </w:rPr>
      </w:pPr>
      <w:r w:rsidRPr="008D4DFC">
        <w:rPr>
          <w:lang w:val="en-US"/>
        </w:rPr>
        <w:t xml:space="preserve">In this appendix, we explain how we have transformed the Copenhagen pledges for 2020 to effective reductions in emissions from their 2020 business-as-usual (BaU) levels (cf. Table 2). </w:t>
      </w:r>
    </w:p>
    <w:p w:rsidR="00D9026F" w:rsidRPr="008D4DFC" w:rsidRDefault="00D9026F" w:rsidP="009C4D7C">
      <w:pPr>
        <w:jc w:val="both"/>
        <w:rPr>
          <w:lang w:val="en-US"/>
        </w:rPr>
      </w:pPr>
    </w:p>
    <w:p w:rsidR="00D9026F" w:rsidRPr="008D4DFC" w:rsidRDefault="00D9026F" w:rsidP="009C4D7C">
      <w:pPr>
        <w:jc w:val="both"/>
        <w:rPr>
          <w:lang w:val="en-US"/>
        </w:rPr>
      </w:pPr>
      <w:r w:rsidRPr="008D4DFC">
        <w:rPr>
          <w:lang w:val="en-US"/>
        </w:rPr>
        <w:t xml:space="preserve">As shown in Table </w:t>
      </w:r>
      <w:r>
        <w:rPr>
          <w:lang w:val="en-US"/>
        </w:rPr>
        <w:t>C</w:t>
      </w:r>
      <w:r w:rsidRPr="008D4DFC">
        <w:rPr>
          <w:lang w:val="en-US"/>
        </w:rPr>
        <w:t xml:space="preserve">1, most of our model regions have stated their pledges in terms of an absolute reduction in greenhouse gas emissions. Only China and India have adopted pledges in relative terms, promising to reduce their emissions per unit of GDP. The base year from which the reduction should be measured varies from 1990 to 2020 (business-as-usual). </w:t>
      </w:r>
    </w:p>
    <w:p w:rsidR="00D9026F" w:rsidRPr="008D4DFC" w:rsidRDefault="00D9026F" w:rsidP="009C4D7C">
      <w:pPr>
        <w:jc w:val="both"/>
        <w:rPr>
          <w:lang w:val="en-US"/>
        </w:rPr>
      </w:pPr>
    </w:p>
    <w:p w:rsidR="00D9026F" w:rsidRPr="008D4DFC" w:rsidRDefault="00D9026F" w:rsidP="009C4D7C">
      <w:pPr>
        <w:jc w:val="both"/>
        <w:rPr>
          <w:lang w:val="en-US"/>
        </w:rPr>
      </w:pPr>
      <w:r w:rsidRPr="008D4DFC">
        <w:rPr>
          <w:lang w:val="en-US"/>
        </w:rPr>
        <w:t>Six regions have provided a range of emission reduction targets. As a general rule, we choose the lower bound of the range. For Russia, China and India, however, the lower bound does not require any emission reduction in 2020. We therefore use the upper bound of the range instead. For China and India, even the higher bound of their Copenhagen pledge would not require any emission reduction compared to BaU in 2020. Here we take the view that these countries would come under pressure from other countries to at least undertake some effective emission reduction, which we set at 5% below BaU emission levels. We also assume that the countries that we do not model individually (the rest of the world) would reduce emissions by on average 5%.</w:t>
      </w:r>
    </w:p>
    <w:p w:rsidR="00D9026F" w:rsidRPr="008D4DFC" w:rsidRDefault="00D9026F" w:rsidP="009C4D7C">
      <w:pPr>
        <w:jc w:val="both"/>
        <w:rPr>
          <w:lang w:val="en-US"/>
        </w:rPr>
      </w:pPr>
    </w:p>
    <w:p w:rsidR="00D9026F" w:rsidRPr="008D4DFC" w:rsidRDefault="00D9026F" w:rsidP="009C4D7C">
      <w:pPr>
        <w:jc w:val="both"/>
        <w:rPr>
          <w:lang w:val="en-US"/>
        </w:rPr>
      </w:pPr>
      <w:r w:rsidRPr="008D4DFC">
        <w:rPr>
          <w:lang w:val="en-US"/>
        </w:rPr>
        <w:t>In contrast to China and India, the other developing countries that we model have made very ambitious pledges committing them to larger emission reductions than most OECD countries. We argue that these pledges are not particularly credible. Thus, we replace them by the percentage reduction of the OECD country with the weakest target (in percentage terms compared to 2020 BaU emissions) –the USA with a reduction target of 17.1%.</w:t>
      </w:r>
    </w:p>
    <w:p w:rsidR="00D9026F" w:rsidRPr="008D4DFC" w:rsidRDefault="00D9026F" w:rsidP="009C4D7C">
      <w:pPr>
        <w:jc w:val="both"/>
        <w:rPr>
          <w:lang w:val="en-US"/>
        </w:rPr>
      </w:pPr>
    </w:p>
    <w:p w:rsidR="00D9026F" w:rsidRPr="008D4DFC" w:rsidRDefault="00D9026F" w:rsidP="009C4D7C">
      <w:pPr>
        <w:jc w:val="both"/>
        <w:rPr>
          <w:lang w:val="en-US"/>
        </w:rPr>
      </w:pPr>
      <w:r w:rsidRPr="008D4DFC">
        <w:rPr>
          <w:lang w:val="en-US"/>
        </w:rPr>
        <w:t xml:space="preserve">Note that Table </w:t>
      </w:r>
      <w:r>
        <w:rPr>
          <w:lang w:val="en-US"/>
        </w:rPr>
        <w:t>C</w:t>
      </w:r>
      <w:r w:rsidRPr="008D4DFC">
        <w:rPr>
          <w:lang w:val="en-US"/>
        </w:rPr>
        <w:t>1 shows the calculated emission reductions according to the Copenhagen pledges, i.e., before our adjustments. Our adjusted emission reduction pledges that we use in the model simulations are shown in Table 2 in the main text. In our numerical simulations we only capture CO</w:t>
      </w:r>
      <w:r w:rsidRPr="008D4DFC">
        <w:rPr>
          <w:vertAlign w:val="subscript"/>
          <w:lang w:val="en-US"/>
        </w:rPr>
        <w:t>2</w:t>
      </w:r>
      <w:r w:rsidRPr="008D4DFC">
        <w:rPr>
          <w:lang w:val="en-US"/>
        </w:rPr>
        <w:t xml:space="preserve"> emissions, thereby assuming that the CO</w:t>
      </w:r>
      <w:r w:rsidRPr="008D4DFC">
        <w:rPr>
          <w:vertAlign w:val="subscript"/>
          <w:lang w:val="en-US"/>
        </w:rPr>
        <w:t>2</w:t>
      </w:r>
      <w:r w:rsidRPr="008D4DFC">
        <w:rPr>
          <w:lang w:val="en-US"/>
        </w:rPr>
        <w:t xml:space="preserve"> emission reductions will be proportional to the overall greenhouse gas emission reductions.</w:t>
      </w:r>
    </w:p>
    <w:p w:rsidR="00D9026F" w:rsidRPr="008D4DFC" w:rsidRDefault="00D9026F" w:rsidP="00014F22">
      <w:pPr>
        <w:spacing w:before="240" w:after="120"/>
        <w:jc w:val="both"/>
        <w:rPr>
          <w:bCs/>
          <w:lang w:val="en-US"/>
        </w:rPr>
      </w:pPr>
      <w:r>
        <w:rPr>
          <w:bCs/>
          <w:lang w:val="en-US"/>
        </w:rPr>
        <w:br w:type="page"/>
      </w:r>
      <w:r w:rsidRPr="008D4DFC">
        <w:rPr>
          <w:bCs/>
          <w:lang w:val="en-US"/>
        </w:rPr>
        <w:lastRenderedPageBreak/>
        <w:t xml:space="preserve">Table </w:t>
      </w:r>
      <w:r>
        <w:rPr>
          <w:bCs/>
          <w:lang w:val="en-US"/>
        </w:rPr>
        <w:t>C</w:t>
      </w:r>
      <w:r w:rsidRPr="008D4DFC">
        <w:rPr>
          <w:bCs/>
          <w:lang w:val="en-US"/>
        </w:rPr>
        <w:t>1: Calculation of emission reduction targets based on Copenhagen pledges</w:t>
      </w:r>
    </w:p>
    <w:tbl>
      <w:tblPr>
        <w:tblW w:w="0" w:type="auto"/>
        <w:tblBorders>
          <w:top w:val="single" w:sz="12" w:space="0" w:color="008000"/>
          <w:bottom w:val="single" w:sz="12" w:space="0" w:color="008000"/>
        </w:tblBorders>
        <w:tblLook w:val="00A0" w:firstRow="1" w:lastRow="0" w:firstColumn="1" w:lastColumn="0" w:noHBand="0" w:noVBand="0"/>
      </w:tblPr>
      <w:tblGrid>
        <w:gridCol w:w="1100"/>
        <w:gridCol w:w="1493"/>
        <w:gridCol w:w="1322"/>
        <w:gridCol w:w="1259"/>
        <w:gridCol w:w="1263"/>
        <w:gridCol w:w="1263"/>
        <w:gridCol w:w="1304"/>
      </w:tblGrid>
      <w:tr w:rsidR="00D9026F" w:rsidRPr="008D4DFC" w:rsidTr="00637F86">
        <w:tc>
          <w:tcPr>
            <w:tcW w:w="1100" w:type="dxa"/>
            <w:tcBorders>
              <w:top w:val="single" w:sz="12" w:space="0" w:color="008000"/>
              <w:bottom w:val="single" w:sz="6" w:space="0" w:color="008000"/>
            </w:tcBorders>
          </w:tcPr>
          <w:p w:rsidR="00D9026F" w:rsidRPr="008D4DFC" w:rsidRDefault="00D9026F" w:rsidP="00637F86">
            <w:pPr>
              <w:spacing w:before="60" w:after="60" w:line="240" w:lineRule="auto"/>
              <w:jc w:val="both"/>
              <w:rPr>
                <w:lang w:val="en-US"/>
              </w:rPr>
            </w:pPr>
            <w:r w:rsidRPr="008D4DFC">
              <w:rPr>
                <w:lang w:val="en-US"/>
              </w:rPr>
              <w:t>Region</w:t>
            </w:r>
          </w:p>
        </w:tc>
        <w:tc>
          <w:tcPr>
            <w:tcW w:w="1493" w:type="dxa"/>
            <w:tcBorders>
              <w:top w:val="single" w:sz="12" w:space="0" w:color="008000"/>
              <w:bottom w:val="single" w:sz="6" w:space="0" w:color="008000"/>
            </w:tcBorders>
          </w:tcPr>
          <w:p w:rsidR="00D9026F" w:rsidRPr="008D4DFC" w:rsidRDefault="00D9026F" w:rsidP="00637F86">
            <w:pPr>
              <w:spacing w:before="60" w:after="60" w:line="240" w:lineRule="auto"/>
              <w:jc w:val="right"/>
              <w:rPr>
                <w:lang w:val="en-US"/>
              </w:rPr>
            </w:pPr>
            <w:r w:rsidRPr="008D4DFC">
              <w:rPr>
                <w:lang w:val="en-US"/>
              </w:rPr>
              <w:t>Reduction pledge</w:t>
            </w:r>
          </w:p>
        </w:tc>
        <w:tc>
          <w:tcPr>
            <w:tcW w:w="1322" w:type="dxa"/>
            <w:tcBorders>
              <w:top w:val="single" w:sz="12" w:space="0" w:color="008000"/>
              <w:bottom w:val="single" w:sz="6" w:space="0" w:color="008000"/>
            </w:tcBorders>
          </w:tcPr>
          <w:p w:rsidR="00D9026F" w:rsidRPr="008D4DFC" w:rsidRDefault="00D9026F" w:rsidP="00637F86">
            <w:pPr>
              <w:spacing w:before="60" w:after="60" w:line="240" w:lineRule="auto"/>
              <w:jc w:val="right"/>
              <w:rPr>
                <w:lang w:val="en-US"/>
              </w:rPr>
            </w:pPr>
            <w:r w:rsidRPr="008D4DFC">
              <w:rPr>
                <w:lang w:val="en-US"/>
              </w:rPr>
              <w:t>Variable</w:t>
            </w:r>
          </w:p>
        </w:tc>
        <w:tc>
          <w:tcPr>
            <w:tcW w:w="1259" w:type="dxa"/>
            <w:tcBorders>
              <w:top w:val="single" w:sz="12" w:space="0" w:color="008000"/>
              <w:bottom w:val="single" w:sz="6" w:space="0" w:color="008000"/>
            </w:tcBorders>
          </w:tcPr>
          <w:p w:rsidR="00D9026F" w:rsidRPr="008D4DFC" w:rsidRDefault="00D9026F" w:rsidP="00637F86">
            <w:pPr>
              <w:spacing w:before="60" w:after="60" w:line="240" w:lineRule="auto"/>
              <w:jc w:val="right"/>
              <w:rPr>
                <w:lang w:val="en-US"/>
              </w:rPr>
            </w:pPr>
            <w:r w:rsidRPr="008D4DFC">
              <w:rPr>
                <w:lang w:val="en-US"/>
              </w:rPr>
              <w:t>Base year</w:t>
            </w:r>
          </w:p>
        </w:tc>
        <w:tc>
          <w:tcPr>
            <w:tcW w:w="1263" w:type="dxa"/>
            <w:tcBorders>
              <w:top w:val="single" w:sz="12" w:space="0" w:color="008000"/>
              <w:bottom w:val="single" w:sz="6" w:space="0" w:color="008000"/>
            </w:tcBorders>
          </w:tcPr>
          <w:p w:rsidR="00D9026F" w:rsidRPr="008D4DFC" w:rsidRDefault="00D9026F" w:rsidP="00637F86">
            <w:pPr>
              <w:spacing w:before="60" w:after="60" w:line="240" w:lineRule="auto"/>
              <w:jc w:val="right"/>
              <w:rPr>
                <w:lang w:val="en-US"/>
              </w:rPr>
            </w:pPr>
            <w:r w:rsidRPr="008D4DFC">
              <w:rPr>
                <w:lang w:val="en-US"/>
              </w:rPr>
              <w:t>Base year value</w:t>
            </w:r>
          </w:p>
        </w:tc>
        <w:tc>
          <w:tcPr>
            <w:tcW w:w="1263" w:type="dxa"/>
            <w:tcBorders>
              <w:top w:val="single" w:sz="12" w:space="0" w:color="008000"/>
              <w:bottom w:val="single" w:sz="6" w:space="0" w:color="008000"/>
            </w:tcBorders>
          </w:tcPr>
          <w:p w:rsidR="00D9026F" w:rsidRPr="008D4DFC" w:rsidRDefault="00D9026F" w:rsidP="00637F86">
            <w:pPr>
              <w:spacing w:before="60" w:after="60" w:line="240" w:lineRule="auto"/>
              <w:jc w:val="right"/>
              <w:rPr>
                <w:lang w:val="en-US"/>
              </w:rPr>
            </w:pPr>
            <w:r w:rsidRPr="008D4DFC">
              <w:rPr>
                <w:lang w:val="en-US"/>
              </w:rPr>
              <w:t>2020 BaU value</w:t>
            </w:r>
          </w:p>
        </w:tc>
        <w:tc>
          <w:tcPr>
            <w:tcW w:w="1304" w:type="dxa"/>
            <w:tcBorders>
              <w:top w:val="single" w:sz="12" w:space="0" w:color="008000"/>
              <w:bottom w:val="single" w:sz="6" w:space="0" w:color="008000"/>
            </w:tcBorders>
          </w:tcPr>
          <w:p w:rsidR="00D9026F" w:rsidRPr="008D4DFC" w:rsidRDefault="00D9026F" w:rsidP="00637F86">
            <w:pPr>
              <w:spacing w:before="60" w:after="60" w:line="240" w:lineRule="auto"/>
              <w:jc w:val="right"/>
              <w:rPr>
                <w:lang w:val="en-US"/>
              </w:rPr>
            </w:pPr>
            <w:r w:rsidRPr="008D4DFC">
              <w:rPr>
                <w:lang w:val="en-US"/>
              </w:rPr>
              <w:t>2020 reduction</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EUR</w:t>
            </w:r>
            <w:r w:rsidRPr="008D4DFC">
              <w:rPr>
                <w:vertAlign w:val="superscript"/>
                <w:lang w:val="en-US"/>
              </w:rPr>
              <w:t>l</w:t>
            </w:r>
          </w:p>
        </w:tc>
        <w:tc>
          <w:tcPr>
            <w:tcW w:w="1493" w:type="dxa"/>
          </w:tcPr>
          <w:p w:rsidR="00D9026F" w:rsidRPr="008D4DFC" w:rsidRDefault="00D9026F" w:rsidP="00637F86">
            <w:pPr>
              <w:spacing w:before="60" w:after="60" w:line="240" w:lineRule="auto"/>
              <w:jc w:val="right"/>
              <w:rPr>
                <w:lang w:val="en-US"/>
              </w:rPr>
            </w:pPr>
            <w:r w:rsidRPr="008D4DFC">
              <w:rPr>
                <w:lang w:val="en-US"/>
              </w:rPr>
              <w:t>20 – 30%</w:t>
            </w:r>
          </w:p>
        </w:tc>
        <w:tc>
          <w:tcPr>
            <w:tcW w:w="1322" w:type="dxa"/>
          </w:tcPr>
          <w:p w:rsidR="00D9026F" w:rsidRPr="008D4DFC" w:rsidRDefault="00D9026F" w:rsidP="00637F86">
            <w:pPr>
              <w:spacing w:before="60" w:after="60" w:line="240" w:lineRule="auto"/>
              <w:jc w:val="right"/>
              <w:rPr>
                <w:lang w:val="en-US"/>
              </w:rPr>
            </w:pPr>
            <w:r w:rsidRPr="008D4DFC">
              <w:rPr>
                <w:lang w:val="en-US"/>
              </w:rPr>
              <w:t>GHG</w:t>
            </w:r>
          </w:p>
        </w:tc>
        <w:tc>
          <w:tcPr>
            <w:tcW w:w="1259" w:type="dxa"/>
          </w:tcPr>
          <w:p w:rsidR="00D9026F" w:rsidRPr="008D4DFC" w:rsidRDefault="00D9026F" w:rsidP="00637F86">
            <w:pPr>
              <w:spacing w:before="60" w:after="60" w:line="240" w:lineRule="auto"/>
              <w:jc w:val="right"/>
              <w:rPr>
                <w:lang w:val="en-US"/>
              </w:rPr>
            </w:pPr>
            <w:r w:rsidRPr="008D4DFC">
              <w:rPr>
                <w:lang w:val="en-US"/>
              </w:rPr>
              <w:t>1990</w:t>
            </w:r>
          </w:p>
        </w:tc>
        <w:tc>
          <w:tcPr>
            <w:tcW w:w="1263" w:type="dxa"/>
          </w:tcPr>
          <w:p w:rsidR="00D9026F" w:rsidRPr="008D4DFC" w:rsidRDefault="00D9026F" w:rsidP="00637F86">
            <w:pPr>
              <w:spacing w:before="60" w:after="60" w:line="240" w:lineRule="auto"/>
              <w:jc w:val="right"/>
              <w:rPr>
                <w:lang w:val="en-US"/>
              </w:rPr>
            </w:pPr>
            <w:r w:rsidRPr="008D4DFC">
              <w:rPr>
                <w:lang w:val="en-US"/>
              </w:rPr>
              <w:t>4149</w:t>
            </w:r>
          </w:p>
        </w:tc>
        <w:tc>
          <w:tcPr>
            <w:tcW w:w="1263" w:type="dxa"/>
          </w:tcPr>
          <w:p w:rsidR="00D9026F" w:rsidRPr="008D4DFC" w:rsidRDefault="00D9026F" w:rsidP="00637F86">
            <w:pPr>
              <w:spacing w:before="60" w:after="60" w:line="240" w:lineRule="auto"/>
              <w:jc w:val="right"/>
              <w:rPr>
                <w:lang w:val="en-US"/>
              </w:rPr>
            </w:pPr>
            <w:r w:rsidRPr="008D4DFC">
              <w:rPr>
                <w:lang w:val="en-US"/>
              </w:rPr>
              <w:t>4450</w:t>
            </w:r>
          </w:p>
        </w:tc>
        <w:tc>
          <w:tcPr>
            <w:tcW w:w="1304" w:type="dxa"/>
          </w:tcPr>
          <w:p w:rsidR="00D9026F" w:rsidRPr="008D4DFC" w:rsidRDefault="00D9026F" w:rsidP="00637F86">
            <w:pPr>
              <w:spacing w:before="60" w:after="60" w:line="240" w:lineRule="auto"/>
              <w:jc w:val="right"/>
              <w:rPr>
                <w:lang w:val="en-US"/>
              </w:rPr>
            </w:pPr>
            <w:r w:rsidRPr="008D4DFC">
              <w:rPr>
                <w:lang w:val="en-US"/>
              </w:rPr>
              <w:t>1131</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USA</w:t>
            </w:r>
          </w:p>
        </w:tc>
        <w:tc>
          <w:tcPr>
            <w:tcW w:w="1493" w:type="dxa"/>
          </w:tcPr>
          <w:p w:rsidR="00D9026F" w:rsidRPr="008D4DFC" w:rsidRDefault="00D9026F" w:rsidP="00637F86">
            <w:pPr>
              <w:spacing w:before="60" w:after="60" w:line="240" w:lineRule="auto"/>
              <w:jc w:val="right"/>
              <w:rPr>
                <w:lang w:val="en-US"/>
              </w:rPr>
            </w:pPr>
            <w:r w:rsidRPr="008D4DFC">
              <w:rPr>
                <w:lang w:val="en-US"/>
              </w:rPr>
              <w:t>17%</w:t>
            </w:r>
          </w:p>
        </w:tc>
        <w:tc>
          <w:tcPr>
            <w:tcW w:w="1322" w:type="dxa"/>
          </w:tcPr>
          <w:p w:rsidR="00D9026F" w:rsidRPr="008D4DFC" w:rsidRDefault="00D9026F" w:rsidP="00637F86">
            <w:pPr>
              <w:spacing w:before="60" w:after="60" w:line="240" w:lineRule="auto"/>
              <w:jc w:val="right"/>
              <w:rPr>
                <w:lang w:val="en-US"/>
              </w:rPr>
            </w:pPr>
            <w:r w:rsidRPr="008D4DFC">
              <w:rPr>
                <w:lang w:val="en-US"/>
              </w:rPr>
              <w:t>GHG</w:t>
            </w:r>
          </w:p>
        </w:tc>
        <w:tc>
          <w:tcPr>
            <w:tcW w:w="1259" w:type="dxa"/>
          </w:tcPr>
          <w:p w:rsidR="00D9026F" w:rsidRPr="008D4DFC" w:rsidRDefault="00D9026F" w:rsidP="00637F86">
            <w:pPr>
              <w:spacing w:before="60" w:after="60" w:line="240" w:lineRule="auto"/>
              <w:jc w:val="right"/>
              <w:rPr>
                <w:lang w:val="en-US"/>
              </w:rPr>
            </w:pPr>
            <w:r w:rsidRPr="008D4DFC">
              <w:rPr>
                <w:lang w:val="en-US"/>
              </w:rPr>
              <w:t>2005</w:t>
            </w:r>
          </w:p>
        </w:tc>
        <w:tc>
          <w:tcPr>
            <w:tcW w:w="1263" w:type="dxa"/>
          </w:tcPr>
          <w:p w:rsidR="00D9026F" w:rsidRPr="008D4DFC" w:rsidRDefault="00D9026F" w:rsidP="00637F86">
            <w:pPr>
              <w:spacing w:before="60" w:after="60" w:line="240" w:lineRule="auto"/>
              <w:jc w:val="right"/>
              <w:rPr>
                <w:lang w:val="en-US"/>
              </w:rPr>
            </w:pPr>
            <w:r w:rsidRPr="008D4DFC">
              <w:rPr>
                <w:lang w:val="en-US"/>
              </w:rPr>
              <w:t>5975</w:t>
            </w:r>
          </w:p>
        </w:tc>
        <w:tc>
          <w:tcPr>
            <w:tcW w:w="1263" w:type="dxa"/>
          </w:tcPr>
          <w:p w:rsidR="00D9026F" w:rsidRPr="008D4DFC" w:rsidRDefault="00D9026F" w:rsidP="00637F86">
            <w:pPr>
              <w:spacing w:before="60" w:after="60" w:line="240" w:lineRule="auto"/>
              <w:jc w:val="right"/>
              <w:rPr>
                <w:lang w:val="en-US"/>
              </w:rPr>
            </w:pPr>
            <w:r w:rsidRPr="008D4DFC">
              <w:rPr>
                <w:lang w:val="en-US"/>
              </w:rPr>
              <w:t>5982</w:t>
            </w:r>
          </w:p>
        </w:tc>
        <w:tc>
          <w:tcPr>
            <w:tcW w:w="1304" w:type="dxa"/>
          </w:tcPr>
          <w:p w:rsidR="00D9026F" w:rsidRPr="008D4DFC" w:rsidRDefault="00D9026F" w:rsidP="00637F86">
            <w:pPr>
              <w:spacing w:before="60" w:after="60" w:line="240" w:lineRule="auto"/>
              <w:jc w:val="right"/>
              <w:rPr>
                <w:lang w:val="en-US"/>
              </w:rPr>
            </w:pPr>
            <w:r w:rsidRPr="008D4DFC">
              <w:rPr>
                <w:lang w:val="en-US"/>
              </w:rPr>
              <w:t>1023</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CAN</w:t>
            </w:r>
          </w:p>
        </w:tc>
        <w:tc>
          <w:tcPr>
            <w:tcW w:w="1493" w:type="dxa"/>
          </w:tcPr>
          <w:p w:rsidR="00D9026F" w:rsidRPr="008D4DFC" w:rsidRDefault="00D9026F" w:rsidP="00637F86">
            <w:pPr>
              <w:spacing w:before="60" w:after="60" w:line="240" w:lineRule="auto"/>
              <w:jc w:val="right"/>
              <w:rPr>
                <w:lang w:val="en-US"/>
              </w:rPr>
            </w:pPr>
            <w:r w:rsidRPr="008D4DFC">
              <w:rPr>
                <w:lang w:val="en-US"/>
              </w:rPr>
              <w:t>17%</w:t>
            </w:r>
          </w:p>
        </w:tc>
        <w:tc>
          <w:tcPr>
            <w:tcW w:w="1322" w:type="dxa"/>
          </w:tcPr>
          <w:p w:rsidR="00D9026F" w:rsidRPr="008D4DFC" w:rsidRDefault="00D9026F" w:rsidP="00637F86">
            <w:pPr>
              <w:spacing w:before="60" w:after="60" w:line="240" w:lineRule="auto"/>
              <w:jc w:val="right"/>
              <w:rPr>
                <w:lang w:val="en-US"/>
              </w:rPr>
            </w:pPr>
            <w:r w:rsidRPr="008D4DFC">
              <w:rPr>
                <w:lang w:val="en-US"/>
              </w:rPr>
              <w:t>GHG</w:t>
            </w:r>
          </w:p>
        </w:tc>
        <w:tc>
          <w:tcPr>
            <w:tcW w:w="1259" w:type="dxa"/>
          </w:tcPr>
          <w:p w:rsidR="00D9026F" w:rsidRPr="008D4DFC" w:rsidRDefault="00D9026F" w:rsidP="00637F86">
            <w:pPr>
              <w:spacing w:before="60" w:after="60" w:line="240" w:lineRule="auto"/>
              <w:jc w:val="right"/>
              <w:rPr>
                <w:lang w:val="en-US"/>
              </w:rPr>
            </w:pPr>
            <w:r w:rsidRPr="008D4DFC">
              <w:rPr>
                <w:lang w:val="en-US"/>
              </w:rPr>
              <w:t>2005</w:t>
            </w:r>
          </w:p>
        </w:tc>
        <w:tc>
          <w:tcPr>
            <w:tcW w:w="1263" w:type="dxa"/>
          </w:tcPr>
          <w:p w:rsidR="00D9026F" w:rsidRPr="008D4DFC" w:rsidRDefault="00D9026F" w:rsidP="00637F86">
            <w:pPr>
              <w:spacing w:before="60" w:after="60" w:line="240" w:lineRule="auto"/>
              <w:jc w:val="right"/>
              <w:rPr>
                <w:lang w:val="en-US"/>
              </w:rPr>
            </w:pPr>
            <w:r w:rsidRPr="008D4DFC">
              <w:rPr>
                <w:lang w:val="en-US"/>
              </w:rPr>
              <w:t>629</w:t>
            </w:r>
          </w:p>
        </w:tc>
        <w:tc>
          <w:tcPr>
            <w:tcW w:w="1263" w:type="dxa"/>
          </w:tcPr>
          <w:p w:rsidR="00D9026F" w:rsidRPr="008D4DFC" w:rsidRDefault="00D9026F" w:rsidP="00637F86">
            <w:pPr>
              <w:spacing w:before="60" w:after="60" w:line="240" w:lineRule="auto"/>
              <w:jc w:val="right"/>
              <w:rPr>
                <w:lang w:val="en-US"/>
              </w:rPr>
            </w:pPr>
            <w:r w:rsidRPr="008D4DFC">
              <w:rPr>
                <w:lang w:val="en-US"/>
              </w:rPr>
              <w:t>675</w:t>
            </w:r>
          </w:p>
        </w:tc>
        <w:tc>
          <w:tcPr>
            <w:tcW w:w="1304" w:type="dxa"/>
          </w:tcPr>
          <w:p w:rsidR="00D9026F" w:rsidRPr="008D4DFC" w:rsidRDefault="00D9026F" w:rsidP="00637F86">
            <w:pPr>
              <w:spacing w:before="60" w:after="60" w:line="240" w:lineRule="auto"/>
              <w:jc w:val="right"/>
              <w:rPr>
                <w:lang w:val="en-US"/>
              </w:rPr>
            </w:pPr>
            <w:r w:rsidRPr="008D4DFC">
              <w:rPr>
                <w:lang w:val="en-US"/>
              </w:rPr>
              <w:t>153</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JPN</w:t>
            </w:r>
          </w:p>
        </w:tc>
        <w:tc>
          <w:tcPr>
            <w:tcW w:w="1493" w:type="dxa"/>
          </w:tcPr>
          <w:p w:rsidR="00D9026F" w:rsidRPr="008D4DFC" w:rsidRDefault="00D9026F" w:rsidP="00637F86">
            <w:pPr>
              <w:spacing w:before="60" w:after="60" w:line="240" w:lineRule="auto"/>
              <w:jc w:val="right"/>
              <w:rPr>
                <w:lang w:val="en-US"/>
              </w:rPr>
            </w:pPr>
            <w:r w:rsidRPr="008D4DFC">
              <w:rPr>
                <w:lang w:val="en-US"/>
              </w:rPr>
              <w:t>25%</w:t>
            </w:r>
          </w:p>
        </w:tc>
        <w:tc>
          <w:tcPr>
            <w:tcW w:w="1322" w:type="dxa"/>
          </w:tcPr>
          <w:p w:rsidR="00D9026F" w:rsidRPr="008D4DFC" w:rsidRDefault="00D9026F" w:rsidP="00637F86">
            <w:pPr>
              <w:spacing w:before="60" w:after="60" w:line="240" w:lineRule="auto"/>
              <w:jc w:val="right"/>
              <w:rPr>
                <w:lang w:val="en-US"/>
              </w:rPr>
            </w:pPr>
            <w:r w:rsidRPr="008D4DFC">
              <w:rPr>
                <w:lang w:val="en-US"/>
              </w:rPr>
              <w:t>GHG</w:t>
            </w:r>
          </w:p>
        </w:tc>
        <w:tc>
          <w:tcPr>
            <w:tcW w:w="1259" w:type="dxa"/>
          </w:tcPr>
          <w:p w:rsidR="00D9026F" w:rsidRPr="008D4DFC" w:rsidRDefault="00D9026F" w:rsidP="00637F86">
            <w:pPr>
              <w:spacing w:before="60" w:after="60" w:line="240" w:lineRule="auto"/>
              <w:jc w:val="right"/>
              <w:rPr>
                <w:lang w:val="en-US"/>
              </w:rPr>
            </w:pPr>
            <w:r w:rsidRPr="008D4DFC">
              <w:rPr>
                <w:lang w:val="en-US"/>
              </w:rPr>
              <w:t>1990</w:t>
            </w:r>
          </w:p>
        </w:tc>
        <w:tc>
          <w:tcPr>
            <w:tcW w:w="1263" w:type="dxa"/>
          </w:tcPr>
          <w:p w:rsidR="00D9026F" w:rsidRPr="008D4DFC" w:rsidRDefault="00D9026F" w:rsidP="00637F86">
            <w:pPr>
              <w:spacing w:before="60" w:after="60" w:line="240" w:lineRule="auto"/>
              <w:jc w:val="right"/>
              <w:rPr>
                <w:lang w:val="en-US"/>
              </w:rPr>
            </w:pPr>
            <w:r w:rsidRPr="008D4DFC">
              <w:rPr>
                <w:lang w:val="en-US"/>
              </w:rPr>
              <w:t>1054</w:t>
            </w:r>
          </w:p>
        </w:tc>
        <w:tc>
          <w:tcPr>
            <w:tcW w:w="1263" w:type="dxa"/>
          </w:tcPr>
          <w:p w:rsidR="00D9026F" w:rsidRPr="008D4DFC" w:rsidRDefault="00D9026F" w:rsidP="00637F86">
            <w:pPr>
              <w:spacing w:before="60" w:after="60" w:line="240" w:lineRule="auto"/>
              <w:jc w:val="right"/>
              <w:rPr>
                <w:lang w:val="en-US"/>
              </w:rPr>
            </w:pPr>
            <w:r w:rsidRPr="008D4DFC">
              <w:rPr>
                <w:lang w:val="en-US"/>
              </w:rPr>
              <w:t>1219</w:t>
            </w:r>
          </w:p>
        </w:tc>
        <w:tc>
          <w:tcPr>
            <w:tcW w:w="1304" w:type="dxa"/>
          </w:tcPr>
          <w:p w:rsidR="00D9026F" w:rsidRPr="008D4DFC" w:rsidRDefault="00D9026F" w:rsidP="00637F86">
            <w:pPr>
              <w:spacing w:before="60" w:after="60" w:line="240" w:lineRule="auto"/>
              <w:jc w:val="right"/>
              <w:rPr>
                <w:lang w:val="en-US"/>
              </w:rPr>
            </w:pPr>
            <w:r w:rsidRPr="008D4DFC">
              <w:rPr>
                <w:lang w:val="en-US"/>
              </w:rPr>
              <w:t>429</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RUS</w:t>
            </w:r>
            <w:r w:rsidRPr="008D4DFC">
              <w:rPr>
                <w:vertAlign w:val="superscript"/>
                <w:lang w:val="en-US"/>
              </w:rPr>
              <w:t>u</w:t>
            </w:r>
          </w:p>
        </w:tc>
        <w:tc>
          <w:tcPr>
            <w:tcW w:w="1493" w:type="dxa"/>
          </w:tcPr>
          <w:p w:rsidR="00D9026F" w:rsidRPr="008D4DFC" w:rsidRDefault="00D9026F" w:rsidP="00637F86">
            <w:pPr>
              <w:spacing w:before="60" w:after="60" w:line="240" w:lineRule="auto"/>
              <w:jc w:val="right"/>
              <w:rPr>
                <w:lang w:val="en-US"/>
              </w:rPr>
            </w:pPr>
            <w:r w:rsidRPr="008D4DFC">
              <w:rPr>
                <w:lang w:val="en-US"/>
              </w:rPr>
              <w:t>15 – 25%</w:t>
            </w:r>
          </w:p>
        </w:tc>
        <w:tc>
          <w:tcPr>
            <w:tcW w:w="1322" w:type="dxa"/>
          </w:tcPr>
          <w:p w:rsidR="00D9026F" w:rsidRPr="008D4DFC" w:rsidRDefault="00D9026F" w:rsidP="00637F86">
            <w:pPr>
              <w:spacing w:before="60" w:after="60" w:line="240" w:lineRule="auto"/>
              <w:jc w:val="right"/>
              <w:rPr>
                <w:lang w:val="en-US"/>
              </w:rPr>
            </w:pPr>
            <w:r w:rsidRPr="008D4DFC">
              <w:rPr>
                <w:lang w:val="en-US"/>
              </w:rPr>
              <w:t>GHG</w:t>
            </w:r>
          </w:p>
        </w:tc>
        <w:tc>
          <w:tcPr>
            <w:tcW w:w="1259" w:type="dxa"/>
          </w:tcPr>
          <w:p w:rsidR="00D9026F" w:rsidRPr="008D4DFC" w:rsidRDefault="00D9026F" w:rsidP="00637F86">
            <w:pPr>
              <w:spacing w:before="60" w:after="60" w:line="240" w:lineRule="auto"/>
              <w:jc w:val="right"/>
              <w:rPr>
                <w:lang w:val="en-US"/>
              </w:rPr>
            </w:pPr>
            <w:r w:rsidRPr="008D4DFC">
              <w:rPr>
                <w:lang w:val="en-US"/>
              </w:rPr>
              <w:t>1990</w:t>
            </w:r>
          </w:p>
        </w:tc>
        <w:tc>
          <w:tcPr>
            <w:tcW w:w="1263" w:type="dxa"/>
          </w:tcPr>
          <w:p w:rsidR="00D9026F" w:rsidRPr="008D4DFC" w:rsidRDefault="00D9026F" w:rsidP="00637F86">
            <w:pPr>
              <w:spacing w:before="60" w:after="60" w:line="240" w:lineRule="auto"/>
              <w:jc w:val="right"/>
              <w:rPr>
                <w:lang w:val="en-US"/>
              </w:rPr>
            </w:pPr>
            <w:r w:rsidRPr="008D4DFC">
              <w:rPr>
                <w:lang w:val="en-US"/>
              </w:rPr>
              <w:t>2393</w:t>
            </w:r>
          </w:p>
        </w:tc>
        <w:tc>
          <w:tcPr>
            <w:tcW w:w="1263" w:type="dxa"/>
          </w:tcPr>
          <w:p w:rsidR="00D9026F" w:rsidRPr="008D4DFC" w:rsidRDefault="00D9026F" w:rsidP="00637F86">
            <w:pPr>
              <w:spacing w:before="60" w:after="60" w:line="240" w:lineRule="auto"/>
              <w:jc w:val="right"/>
              <w:rPr>
                <w:lang w:val="en-US"/>
              </w:rPr>
            </w:pPr>
            <w:r w:rsidRPr="008D4DFC">
              <w:rPr>
                <w:lang w:val="en-US"/>
              </w:rPr>
              <w:t>1945</w:t>
            </w:r>
          </w:p>
        </w:tc>
        <w:tc>
          <w:tcPr>
            <w:tcW w:w="1304" w:type="dxa"/>
          </w:tcPr>
          <w:p w:rsidR="00D9026F" w:rsidRPr="008D4DFC" w:rsidRDefault="00D9026F" w:rsidP="00637F86">
            <w:pPr>
              <w:spacing w:before="60" w:after="60" w:line="240" w:lineRule="auto"/>
              <w:jc w:val="right"/>
              <w:rPr>
                <w:lang w:val="en-US"/>
              </w:rPr>
            </w:pPr>
            <w:r w:rsidRPr="008D4DFC">
              <w:rPr>
                <w:lang w:val="en-US"/>
              </w:rPr>
              <w:t>150</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AUS</w:t>
            </w:r>
            <w:r w:rsidRPr="008D4DFC">
              <w:rPr>
                <w:vertAlign w:val="superscript"/>
                <w:lang w:val="en-US"/>
              </w:rPr>
              <w:t>l</w:t>
            </w:r>
          </w:p>
        </w:tc>
        <w:tc>
          <w:tcPr>
            <w:tcW w:w="1493" w:type="dxa"/>
          </w:tcPr>
          <w:p w:rsidR="00D9026F" w:rsidRPr="008D4DFC" w:rsidRDefault="00D9026F" w:rsidP="00637F86">
            <w:pPr>
              <w:spacing w:before="60" w:after="60" w:line="240" w:lineRule="auto"/>
              <w:jc w:val="right"/>
              <w:rPr>
                <w:lang w:val="en-US"/>
              </w:rPr>
            </w:pPr>
            <w:r w:rsidRPr="008D4DFC">
              <w:rPr>
                <w:lang w:val="en-US"/>
              </w:rPr>
              <w:t>5 – 25%</w:t>
            </w:r>
          </w:p>
        </w:tc>
        <w:tc>
          <w:tcPr>
            <w:tcW w:w="1322" w:type="dxa"/>
          </w:tcPr>
          <w:p w:rsidR="00D9026F" w:rsidRPr="008D4DFC" w:rsidRDefault="00D9026F" w:rsidP="00637F86">
            <w:pPr>
              <w:spacing w:before="60" w:after="60" w:line="240" w:lineRule="auto"/>
              <w:jc w:val="right"/>
              <w:rPr>
                <w:lang w:val="en-US"/>
              </w:rPr>
            </w:pPr>
            <w:r w:rsidRPr="008D4DFC">
              <w:rPr>
                <w:lang w:val="en-US"/>
              </w:rPr>
              <w:t>GHG</w:t>
            </w:r>
          </w:p>
        </w:tc>
        <w:tc>
          <w:tcPr>
            <w:tcW w:w="1259" w:type="dxa"/>
          </w:tcPr>
          <w:p w:rsidR="00D9026F" w:rsidRPr="008D4DFC" w:rsidRDefault="00D9026F" w:rsidP="00637F86">
            <w:pPr>
              <w:spacing w:before="60" w:after="60" w:line="240" w:lineRule="auto"/>
              <w:jc w:val="right"/>
              <w:rPr>
                <w:lang w:val="en-US"/>
              </w:rPr>
            </w:pPr>
            <w:r w:rsidRPr="008D4DFC">
              <w:rPr>
                <w:lang w:val="en-US"/>
              </w:rPr>
              <w:t>2000</w:t>
            </w:r>
          </w:p>
        </w:tc>
        <w:tc>
          <w:tcPr>
            <w:tcW w:w="1263" w:type="dxa"/>
          </w:tcPr>
          <w:p w:rsidR="00D9026F" w:rsidRPr="008D4DFC" w:rsidRDefault="00D9026F" w:rsidP="00637F86">
            <w:pPr>
              <w:spacing w:before="60" w:after="60" w:line="240" w:lineRule="auto"/>
              <w:jc w:val="right"/>
              <w:rPr>
                <w:lang w:val="en-US"/>
              </w:rPr>
            </w:pPr>
            <w:r w:rsidRPr="008D4DFC">
              <w:rPr>
                <w:lang w:val="en-US"/>
              </w:rPr>
              <w:t>359</w:t>
            </w:r>
          </w:p>
        </w:tc>
        <w:tc>
          <w:tcPr>
            <w:tcW w:w="1263" w:type="dxa"/>
          </w:tcPr>
          <w:p w:rsidR="00D9026F" w:rsidRPr="008D4DFC" w:rsidRDefault="00D9026F" w:rsidP="00637F86">
            <w:pPr>
              <w:spacing w:before="60" w:after="60" w:line="240" w:lineRule="auto"/>
              <w:jc w:val="right"/>
              <w:rPr>
                <w:lang w:val="en-US"/>
              </w:rPr>
            </w:pPr>
            <w:r w:rsidRPr="008D4DFC">
              <w:rPr>
                <w:lang w:val="en-US"/>
              </w:rPr>
              <w:t>464</w:t>
            </w:r>
          </w:p>
        </w:tc>
        <w:tc>
          <w:tcPr>
            <w:tcW w:w="1304" w:type="dxa"/>
          </w:tcPr>
          <w:p w:rsidR="00D9026F" w:rsidRPr="008D4DFC" w:rsidRDefault="00D9026F" w:rsidP="00637F86">
            <w:pPr>
              <w:spacing w:before="60" w:after="60" w:line="240" w:lineRule="auto"/>
              <w:jc w:val="right"/>
              <w:rPr>
                <w:lang w:val="en-US"/>
              </w:rPr>
            </w:pPr>
            <w:r w:rsidRPr="008D4DFC">
              <w:rPr>
                <w:lang w:val="en-US"/>
              </w:rPr>
              <w:t>123</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CHN</w:t>
            </w:r>
            <w:r w:rsidRPr="008D4DFC">
              <w:rPr>
                <w:vertAlign w:val="superscript"/>
                <w:lang w:val="en-US"/>
              </w:rPr>
              <w:t>u</w:t>
            </w:r>
          </w:p>
        </w:tc>
        <w:tc>
          <w:tcPr>
            <w:tcW w:w="1493" w:type="dxa"/>
          </w:tcPr>
          <w:p w:rsidR="00D9026F" w:rsidRPr="008D4DFC" w:rsidRDefault="00D9026F" w:rsidP="00637F86">
            <w:pPr>
              <w:spacing w:before="60" w:after="60" w:line="240" w:lineRule="auto"/>
              <w:jc w:val="right"/>
              <w:rPr>
                <w:lang w:val="en-US"/>
              </w:rPr>
            </w:pPr>
            <w:r w:rsidRPr="008D4DFC">
              <w:rPr>
                <w:lang w:val="en-US"/>
              </w:rPr>
              <w:t>40 – 45%</w:t>
            </w:r>
          </w:p>
        </w:tc>
        <w:tc>
          <w:tcPr>
            <w:tcW w:w="1322" w:type="dxa"/>
          </w:tcPr>
          <w:p w:rsidR="00D9026F" w:rsidRPr="008D4DFC" w:rsidRDefault="00D9026F" w:rsidP="00637F86">
            <w:pPr>
              <w:spacing w:before="60" w:after="60" w:line="240" w:lineRule="auto"/>
              <w:jc w:val="right"/>
              <w:rPr>
                <w:lang w:val="en-US"/>
              </w:rPr>
            </w:pPr>
            <w:r w:rsidRPr="008D4DFC">
              <w:rPr>
                <w:lang w:val="en-US"/>
              </w:rPr>
              <w:t>GHG/GDP</w:t>
            </w:r>
          </w:p>
        </w:tc>
        <w:tc>
          <w:tcPr>
            <w:tcW w:w="1259" w:type="dxa"/>
          </w:tcPr>
          <w:p w:rsidR="00D9026F" w:rsidRPr="008D4DFC" w:rsidRDefault="00D9026F" w:rsidP="00637F86">
            <w:pPr>
              <w:spacing w:before="60" w:after="60" w:line="240" w:lineRule="auto"/>
              <w:jc w:val="right"/>
              <w:rPr>
                <w:lang w:val="en-US"/>
              </w:rPr>
            </w:pPr>
            <w:r w:rsidRPr="008D4DFC">
              <w:rPr>
                <w:lang w:val="en-US"/>
              </w:rPr>
              <w:t>2005</w:t>
            </w:r>
          </w:p>
        </w:tc>
        <w:tc>
          <w:tcPr>
            <w:tcW w:w="1263" w:type="dxa"/>
          </w:tcPr>
          <w:p w:rsidR="00D9026F" w:rsidRPr="008D4DFC" w:rsidRDefault="00D9026F" w:rsidP="00637F86">
            <w:pPr>
              <w:spacing w:before="60" w:after="60" w:line="240" w:lineRule="auto"/>
              <w:jc w:val="right"/>
              <w:rPr>
                <w:lang w:val="en-US"/>
              </w:rPr>
            </w:pPr>
            <w:r w:rsidRPr="008D4DFC">
              <w:rPr>
                <w:lang w:val="en-US"/>
              </w:rPr>
              <w:t>2.428</w:t>
            </w:r>
          </w:p>
        </w:tc>
        <w:tc>
          <w:tcPr>
            <w:tcW w:w="1263" w:type="dxa"/>
          </w:tcPr>
          <w:p w:rsidR="00D9026F" w:rsidRPr="008D4DFC" w:rsidRDefault="00D9026F" w:rsidP="00637F86">
            <w:pPr>
              <w:spacing w:before="60" w:after="60" w:line="240" w:lineRule="auto"/>
              <w:jc w:val="right"/>
              <w:rPr>
                <w:lang w:val="en-US"/>
              </w:rPr>
            </w:pPr>
            <w:r w:rsidRPr="008D4DFC">
              <w:rPr>
                <w:lang w:val="en-US"/>
              </w:rPr>
              <w:t>1.323</w:t>
            </w:r>
          </w:p>
        </w:tc>
        <w:tc>
          <w:tcPr>
            <w:tcW w:w="1304" w:type="dxa"/>
          </w:tcPr>
          <w:p w:rsidR="00D9026F" w:rsidRPr="008D4DFC" w:rsidRDefault="00D9026F" w:rsidP="00637F86">
            <w:pPr>
              <w:spacing w:before="60" w:after="60" w:line="240" w:lineRule="auto"/>
              <w:jc w:val="right"/>
              <w:rPr>
                <w:lang w:val="en-US"/>
              </w:rPr>
            </w:pPr>
            <w:r w:rsidRPr="008D4DFC">
              <w:rPr>
                <w:lang w:val="en-US"/>
              </w:rPr>
              <w:t>0</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IND</w:t>
            </w:r>
            <w:r w:rsidRPr="008D4DFC">
              <w:rPr>
                <w:vertAlign w:val="superscript"/>
                <w:lang w:val="en-US"/>
              </w:rPr>
              <w:t>u</w:t>
            </w:r>
          </w:p>
        </w:tc>
        <w:tc>
          <w:tcPr>
            <w:tcW w:w="1493" w:type="dxa"/>
          </w:tcPr>
          <w:p w:rsidR="00D9026F" w:rsidRPr="008D4DFC" w:rsidRDefault="00D9026F" w:rsidP="00637F86">
            <w:pPr>
              <w:spacing w:before="60" w:after="60" w:line="240" w:lineRule="auto"/>
              <w:jc w:val="right"/>
              <w:rPr>
                <w:lang w:val="en-US"/>
              </w:rPr>
            </w:pPr>
            <w:r w:rsidRPr="008D4DFC">
              <w:rPr>
                <w:lang w:val="en-US"/>
              </w:rPr>
              <w:t>20 – 25%</w:t>
            </w:r>
          </w:p>
        </w:tc>
        <w:tc>
          <w:tcPr>
            <w:tcW w:w="1322" w:type="dxa"/>
          </w:tcPr>
          <w:p w:rsidR="00D9026F" w:rsidRPr="008D4DFC" w:rsidRDefault="00D9026F" w:rsidP="00637F86">
            <w:pPr>
              <w:spacing w:before="60" w:after="60" w:line="240" w:lineRule="auto"/>
              <w:jc w:val="right"/>
              <w:rPr>
                <w:lang w:val="en-US"/>
              </w:rPr>
            </w:pPr>
            <w:r w:rsidRPr="008D4DFC">
              <w:rPr>
                <w:lang w:val="en-US"/>
              </w:rPr>
              <w:t>GHG/GDP</w:t>
            </w:r>
          </w:p>
        </w:tc>
        <w:tc>
          <w:tcPr>
            <w:tcW w:w="1259" w:type="dxa"/>
          </w:tcPr>
          <w:p w:rsidR="00D9026F" w:rsidRPr="008D4DFC" w:rsidRDefault="00D9026F" w:rsidP="00637F86">
            <w:pPr>
              <w:spacing w:before="60" w:after="60" w:line="240" w:lineRule="auto"/>
              <w:jc w:val="right"/>
              <w:rPr>
                <w:lang w:val="en-US"/>
              </w:rPr>
            </w:pPr>
            <w:r w:rsidRPr="008D4DFC">
              <w:rPr>
                <w:lang w:val="en-US"/>
              </w:rPr>
              <w:t>2005</w:t>
            </w:r>
          </w:p>
        </w:tc>
        <w:tc>
          <w:tcPr>
            <w:tcW w:w="1263" w:type="dxa"/>
          </w:tcPr>
          <w:p w:rsidR="00D9026F" w:rsidRPr="008D4DFC" w:rsidRDefault="00D9026F" w:rsidP="00637F86">
            <w:pPr>
              <w:spacing w:before="60" w:after="60" w:line="240" w:lineRule="auto"/>
              <w:jc w:val="right"/>
              <w:rPr>
                <w:lang w:val="en-US"/>
              </w:rPr>
            </w:pPr>
            <w:r w:rsidRPr="008D4DFC">
              <w:rPr>
                <w:lang w:val="en-US"/>
              </w:rPr>
              <w:t>1.480</w:t>
            </w:r>
          </w:p>
        </w:tc>
        <w:tc>
          <w:tcPr>
            <w:tcW w:w="1263" w:type="dxa"/>
          </w:tcPr>
          <w:p w:rsidR="00D9026F" w:rsidRPr="008D4DFC" w:rsidRDefault="00D9026F" w:rsidP="00637F86">
            <w:pPr>
              <w:spacing w:before="60" w:after="60" w:line="240" w:lineRule="auto"/>
              <w:jc w:val="right"/>
              <w:rPr>
                <w:lang w:val="en-US"/>
              </w:rPr>
            </w:pPr>
            <w:r w:rsidRPr="008D4DFC">
              <w:rPr>
                <w:lang w:val="en-US"/>
              </w:rPr>
              <w:t>0.827</w:t>
            </w:r>
          </w:p>
        </w:tc>
        <w:tc>
          <w:tcPr>
            <w:tcW w:w="1304" w:type="dxa"/>
          </w:tcPr>
          <w:p w:rsidR="00D9026F" w:rsidRPr="008D4DFC" w:rsidRDefault="00D9026F" w:rsidP="00637F86">
            <w:pPr>
              <w:spacing w:before="60" w:after="60" w:line="240" w:lineRule="auto"/>
              <w:jc w:val="right"/>
              <w:rPr>
                <w:lang w:val="en-US"/>
              </w:rPr>
            </w:pPr>
            <w:r w:rsidRPr="008D4DFC">
              <w:rPr>
                <w:lang w:val="en-US"/>
              </w:rPr>
              <w:t>0</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BRA</w:t>
            </w:r>
            <w:r w:rsidRPr="008D4DFC">
              <w:rPr>
                <w:vertAlign w:val="superscript"/>
                <w:lang w:val="en-US"/>
              </w:rPr>
              <w:t>l</w:t>
            </w:r>
          </w:p>
        </w:tc>
        <w:tc>
          <w:tcPr>
            <w:tcW w:w="1493" w:type="dxa"/>
          </w:tcPr>
          <w:p w:rsidR="00D9026F" w:rsidRPr="008D4DFC" w:rsidRDefault="00D9026F" w:rsidP="00637F86">
            <w:pPr>
              <w:spacing w:before="60" w:after="60" w:line="240" w:lineRule="auto"/>
              <w:jc w:val="right"/>
              <w:rPr>
                <w:lang w:val="en-US"/>
              </w:rPr>
            </w:pPr>
            <w:r w:rsidRPr="008D4DFC">
              <w:rPr>
                <w:lang w:val="en-US"/>
              </w:rPr>
              <w:t>36.1–38.9%</w:t>
            </w:r>
          </w:p>
        </w:tc>
        <w:tc>
          <w:tcPr>
            <w:tcW w:w="1322" w:type="dxa"/>
          </w:tcPr>
          <w:p w:rsidR="00D9026F" w:rsidRPr="008D4DFC" w:rsidRDefault="00D9026F" w:rsidP="00637F86">
            <w:pPr>
              <w:spacing w:before="60" w:after="60" w:line="240" w:lineRule="auto"/>
              <w:jc w:val="right"/>
              <w:rPr>
                <w:lang w:val="en-US"/>
              </w:rPr>
            </w:pPr>
            <w:r w:rsidRPr="008D4DFC">
              <w:rPr>
                <w:lang w:val="en-US"/>
              </w:rPr>
              <w:t>GHG</w:t>
            </w:r>
          </w:p>
        </w:tc>
        <w:tc>
          <w:tcPr>
            <w:tcW w:w="1259" w:type="dxa"/>
          </w:tcPr>
          <w:p w:rsidR="00D9026F" w:rsidRPr="008D4DFC" w:rsidRDefault="00D9026F" w:rsidP="00637F86">
            <w:pPr>
              <w:spacing w:before="60" w:after="60" w:line="240" w:lineRule="auto"/>
              <w:jc w:val="right"/>
              <w:rPr>
                <w:lang w:val="en-US"/>
              </w:rPr>
            </w:pPr>
            <w:r w:rsidRPr="008D4DFC">
              <w:rPr>
                <w:lang w:val="en-US"/>
              </w:rPr>
              <w:t>BaU</w:t>
            </w:r>
          </w:p>
        </w:tc>
        <w:tc>
          <w:tcPr>
            <w:tcW w:w="1263" w:type="dxa"/>
          </w:tcPr>
          <w:p w:rsidR="00D9026F" w:rsidRPr="008D4DFC" w:rsidRDefault="00D9026F" w:rsidP="00637F86">
            <w:pPr>
              <w:spacing w:before="60" w:after="60" w:line="240" w:lineRule="auto"/>
              <w:jc w:val="right"/>
              <w:rPr>
                <w:lang w:val="en-US"/>
              </w:rPr>
            </w:pPr>
            <w:r w:rsidRPr="008D4DFC">
              <w:rPr>
                <w:lang w:val="en-US"/>
              </w:rPr>
              <w:t>543</w:t>
            </w:r>
          </w:p>
        </w:tc>
        <w:tc>
          <w:tcPr>
            <w:tcW w:w="1263" w:type="dxa"/>
          </w:tcPr>
          <w:p w:rsidR="00D9026F" w:rsidRPr="008D4DFC" w:rsidRDefault="00D9026F" w:rsidP="00637F86">
            <w:pPr>
              <w:spacing w:before="60" w:after="60" w:line="240" w:lineRule="auto"/>
              <w:jc w:val="right"/>
              <w:rPr>
                <w:lang w:val="en-US"/>
              </w:rPr>
            </w:pPr>
            <w:r w:rsidRPr="008D4DFC">
              <w:rPr>
                <w:lang w:val="en-US"/>
              </w:rPr>
              <w:t>543</w:t>
            </w:r>
          </w:p>
        </w:tc>
        <w:tc>
          <w:tcPr>
            <w:tcW w:w="1304" w:type="dxa"/>
          </w:tcPr>
          <w:p w:rsidR="00D9026F" w:rsidRPr="008D4DFC" w:rsidRDefault="00D9026F" w:rsidP="00637F86">
            <w:pPr>
              <w:spacing w:before="60" w:after="60" w:line="240" w:lineRule="auto"/>
              <w:jc w:val="right"/>
              <w:rPr>
                <w:lang w:val="en-US"/>
              </w:rPr>
            </w:pPr>
            <w:r w:rsidRPr="008D4DFC">
              <w:rPr>
                <w:lang w:val="en-US"/>
              </w:rPr>
              <w:t>196</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MEX</w:t>
            </w:r>
          </w:p>
        </w:tc>
        <w:tc>
          <w:tcPr>
            <w:tcW w:w="1493" w:type="dxa"/>
          </w:tcPr>
          <w:p w:rsidR="00D9026F" w:rsidRPr="008D4DFC" w:rsidRDefault="00D9026F" w:rsidP="00637F86">
            <w:pPr>
              <w:spacing w:before="60" w:after="60" w:line="240" w:lineRule="auto"/>
              <w:jc w:val="right"/>
              <w:rPr>
                <w:lang w:val="en-US"/>
              </w:rPr>
            </w:pPr>
            <w:r w:rsidRPr="008D4DFC">
              <w:rPr>
                <w:lang w:val="en-US"/>
              </w:rPr>
              <w:t>30%</w:t>
            </w:r>
          </w:p>
        </w:tc>
        <w:tc>
          <w:tcPr>
            <w:tcW w:w="1322" w:type="dxa"/>
          </w:tcPr>
          <w:p w:rsidR="00D9026F" w:rsidRPr="008D4DFC" w:rsidRDefault="00D9026F" w:rsidP="00637F86">
            <w:pPr>
              <w:spacing w:before="60" w:after="60" w:line="240" w:lineRule="auto"/>
              <w:jc w:val="right"/>
              <w:rPr>
                <w:lang w:val="en-US"/>
              </w:rPr>
            </w:pPr>
            <w:r w:rsidRPr="008D4DFC">
              <w:rPr>
                <w:lang w:val="en-US"/>
              </w:rPr>
              <w:t>GHG</w:t>
            </w:r>
          </w:p>
        </w:tc>
        <w:tc>
          <w:tcPr>
            <w:tcW w:w="1259" w:type="dxa"/>
          </w:tcPr>
          <w:p w:rsidR="00D9026F" w:rsidRPr="008D4DFC" w:rsidRDefault="00D9026F" w:rsidP="00637F86">
            <w:pPr>
              <w:spacing w:before="60" w:after="60" w:line="240" w:lineRule="auto"/>
              <w:jc w:val="right"/>
              <w:rPr>
                <w:lang w:val="en-US"/>
              </w:rPr>
            </w:pPr>
            <w:r w:rsidRPr="008D4DFC">
              <w:rPr>
                <w:lang w:val="en-US"/>
              </w:rPr>
              <w:t>BaU</w:t>
            </w:r>
          </w:p>
        </w:tc>
        <w:tc>
          <w:tcPr>
            <w:tcW w:w="1263" w:type="dxa"/>
          </w:tcPr>
          <w:p w:rsidR="00D9026F" w:rsidRPr="008D4DFC" w:rsidRDefault="00D9026F" w:rsidP="00637F86">
            <w:pPr>
              <w:spacing w:before="60" w:after="60" w:line="240" w:lineRule="auto"/>
              <w:jc w:val="right"/>
              <w:rPr>
                <w:lang w:val="en-US"/>
              </w:rPr>
            </w:pPr>
            <w:r w:rsidRPr="008D4DFC">
              <w:rPr>
                <w:lang w:val="en-US"/>
              </w:rPr>
              <w:t>466</w:t>
            </w:r>
          </w:p>
        </w:tc>
        <w:tc>
          <w:tcPr>
            <w:tcW w:w="1263" w:type="dxa"/>
          </w:tcPr>
          <w:p w:rsidR="00D9026F" w:rsidRPr="008D4DFC" w:rsidRDefault="00D9026F" w:rsidP="00637F86">
            <w:pPr>
              <w:spacing w:before="60" w:after="60" w:line="240" w:lineRule="auto"/>
              <w:jc w:val="right"/>
              <w:rPr>
                <w:lang w:val="en-US"/>
              </w:rPr>
            </w:pPr>
            <w:r w:rsidRPr="008D4DFC">
              <w:rPr>
                <w:lang w:val="en-US"/>
              </w:rPr>
              <w:t>466</w:t>
            </w:r>
          </w:p>
        </w:tc>
        <w:tc>
          <w:tcPr>
            <w:tcW w:w="1304" w:type="dxa"/>
          </w:tcPr>
          <w:p w:rsidR="00D9026F" w:rsidRPr="008D4DFC" w:rsidRDefault="00D9026F" w:rsidP="00637F86">
            <w:pPr>
              <w:spacing w:before="60" w:after="60" w:line="240" w:lineRule="auto"/>
              <w:jc w:val="right"/>
              <w:rPr>
                <w:lang w:val="en-US"/>
              </w:rPr>
            </w:pPr>
            <w:r w:rsidRPr="008D4DFC">
              <w:rPr>
                <w:lang w:val="en-US"/>
              </w:rPr>
              <w:t>140</w:t>
            </w:r>
          </w:p>
        </w:tc>
      </w:tr>
      <w:tr w:rsidR="00D9026F" w:rsidRPr="008D4DFC" w:rsidTr="00637F86">
        <w:tc>
          <w:tcPr>
            <w:tcW w:w="1100" w:type="dxa"/>
          </w:tcPr>
          <w:p w:rsidR="00D9026F" w:rsidRPr="008D4DFC" w:rsidRDefault="00D9026F" w:rsidP="00637F86">
            <w:pPr>
              <w:spacing w:before="60" w:after="60" w:line="240" w:lineRule="auto"/>
              <w:jc w:val="both"/>
              <w:rPr>
                <w:lang w:val="en-US"/>
              </w:rPr>
            </w:pPr>
            <w:r w:rsidRPr="008D4DFC">
              <w:rPr>
                <w:lang w:val="en-US"/>
              </w:rPr>
              <w:t>ZAF</w:t>
            </w:r>
          </w:p>
        </w:tc>
        <w:tc>
          <w:tcPr>
            <w:tcW w:w="1493" w:type="dxa"/>
          </w:tcPr>
          <w:p w:rsidR="00D9026F" w:rsidRPr="008D4DFC" w:rsidRDefault="00D9026F" w:rsidP="00637F86">
            <w:pPr>
              <w:spacing w:before="60" w:after="60" w:line="240" w:lineRule="auto"/>
              <w:jc w:val="right"/>
              <w:rPr>
                <w:lang w:val="en-US"/>
              </w:rPr>
            </w:pPr>
            <w:r w:rsidRPr="008D4DFC">
              <w:rPr>
                <w:lang w:val="en-US"/>
              </w:rPr>
              <w:t>34%</w:t>
            </w:r>
          </w:p>
        </w:tc>
        <w:tc>
          <w:tcPr>
            <w:tcW w:w="1322" w:type="dxa"/>
          </w:tcPr>
          <w:p w:rsidR="00D9026F" w:rsidRPr="008D4DFC" w:rsidRDefault="00D9026F" w:rsidP="00637F86">
            <w:pPr>
              <w:spacing w:before="60" w:after="60" w:line="240" w:lineRule="auto"/>
              <w:jc w:val="right"/>
              <w:rPr>
                <w:lang w:val="en-US"/>
              </w:rPr>
            </w:pPr>
            <w:r w:rsidRPr="008D4DFC">
              <w:rPr>
                <w:lang w:val="en-US"/>
              </w:rPr>
              <w:t>GHG</w:t>
            </w:r>
          </w:p>
        </w:tc>
        <w:tc>
          <w:tcPr>
            <w:tcW w:w="1259" w:type="dxa"/>
          </w:tcPr>
          <w:p w:rsidR="00D9026F" w:rsidRPr="008D4DFC" w:rsidRDefault="00D9026F" w:rsidP="00637F86">
            <w:pPr>
              <w:spacing w:before="60" w:after="60" w:line="240" w:lineRule="auto"/>
              <w:jc w:val="right"/>
              <w:rPr>
                <w:lang w:val="en-US"/>
              </w:rPr>
            </w:pPr>
            <w:r w:rsidRPr="008D4DFC">
              <w:rPr>
                <w:lang w:val="en-US"/>
              </w:rPr>
              <w:t>BaU</w:t>
            </w:r>
          </w:p>
        </w:tc>
        <w:tc>
          <w:tcPr>
            <w:tcW w:w="1263" w:type="dxa"/>
          </w:tcPr>
          <w:p w:rsidR="00D9026F" w:rsidRPr="008D4DFC" w:rsidRDefault="00D9026F" w:rsidP="00637F86">
            <w:pPr>
              <w:spacing w:before="60" w:after="60" w:line="240" w:lineRule="auto"/>
              <w:jc w:val="right"/>
              <w:rPr>
                <w:lang w:val="en-US"/>
              </w:rPr>
            </w:pPr>
            <w:r w:rsidRPr="008D4DFC">
              <w:rPr>
                <w:lang w:val="en-US"/>
              </w:rPr>
              <w:t>502</w:t>
            </w:r>
          </w:p>
        </w:tc>
        <w:tc>
          <w:tcPr>
            <w:tcW w:w="1263" w:type="dxa"/>
          </w:tcPr>
          <w:p w:rsidR="00D9026F" w:rsidRPr="008D4DFC" w:rsidRDefault="00D9026F" w:rsidP="00637F86">
            <w:pPr>
              <w:spacing w:before="60" w:after="60" w:line="240" w:lineRule="auto"/>
              <w:jc w:val="right"/>
              <w:rPr>
                <w:lang w:val="en-US"/>
              </w:rPr>
            </w:pPr>
            <w:r w:rsidRPr="008D4DFC">
              <w:rPr>
                <w:lang w:val="en-US"/>
              </w:rPr>
              <w:t>502</w:t>
            </w:r>
          </w:p>
        </w:tc>
        <w:tc>
          <w:tcPr>
            <w:tcW w:w="1304" w:type="dxa"/>
          </w:tcPr>
          <w:p w:rsidR="00D9026F" w:rsidRPr="008D4DFC" w:rsidRDefault="00D9026F" w:rsidP="00637F86">
            <w:pPr>
              <w:spacing w:before="60" w:after="60" w:line="240" w:lineRule="auto"/>
              <w:jc w:val="right"/>
              <w:rPr>
                <w:lang w:val="en-US"/>
              </w:rPr>
            </w:pPr>
            <w:r w:rsidRPr="008D4DFC">
              <w:rPr>
                <w:lang w:val="en-US"/>
              </w:rPr>
              <w:t>171</w:t>
            </w:r>
          </w:p>
        </w:tc>
      </w:tr>
      <w:tr w:rsidR="00D9026F" w:rsidRPr="008D4DFC" w:rsidTr="00637F86">
        <w:tc>
          <w:tcPr>
            <w:tcW w:w="1100" w:type="dxa"/>
            <w:tcBorders>
              <w:bottom w:val="single" w:sz="12" w:space="0" w:color="008000"/>
            </w:tcBorders>
          </w:tcPr>
          <w:p w:rsidR="00D9026F" w:rsidRPr="008D4DFC" w:rsidRDefault="00D9026F" w:rsidP="00637F86">
            <w:pPr>
              <w:spacing w:before="60" w:after="60" w:line="240" w:lineRule="auto"/>
              <w:jc w:val="both"/>
              <w:rPr>
                <w:lang w:val="en-US"/>
              </w:rPr>
            </w:pPr>
            <w:r w:rsidRPr="008D4DFC">
              <w:rPr>
                <w:lang w:val="en-US"/>
              </w:rPr>
              <w:t>KOR</w:t>
            </w:r>
          </w:p>
        </w:tc>
        <w:tc>
          <w:tcPr>
            <w:tcW w:w="1493" w:type="dxa"/>
            <w:tcBorders>
              <w:bottom w:val="single" w:sz="12" w:space="0" w:color="008000"/>
            </w:tcBorders>
          </w:tcPr>
          <w:p w:rsidR="00D9026F" w:rsidRPr="008D4DFC" w:rsidRDefault="00D9026F" w:rsidP="00637F86">
            <w:pPr>
              <w:spacing w:before="60" w:after="60" w:line="240" w:lineRule="auto"/>
              <w:jc w:val="right"/>
              <w:rPr>
                <w:lang w:val="en-US"/>
              </w:rPr>
            </w:pPr>
            <w:r w:rsidRPr="008D4DFC">
              <w:rPr>
                <w:lang w:val="en-US"/>
              </w:rPr>
              <w:t>30%</w:t>
            </w:r>
          </w:p>
        </w:tc>
        <w:tc>
          <w:tcPr>
            <w:tcW w:w="1322" w:type="dxa"/>
            <w:tcBorders>
              <w:bottom w:val="single" w:sz="12" w:space="0" w:color="008000"/>
            </w:tcBorders>
          </w:tcPr>
          <w:p w:rsidR="00D9026F" w:rsidRPr="008D4DFC" w:rsidRDefault="00D9026F" w:rsidP="00637F86">
            <w:pPr>
              <w:spacing w:before="60" w:after="60" w:line="240" w:lineRule="auto"/>
              <w:jc w:val="right"/>
              <w:rPr>
                <w:lang w:val="en-US"/>
              </w:rPr>
            </w:pPr>
            <w:r w:rsidRPr="008D4DFC">
              <w:rPr>
                <w:lang w:val="en-US"/>
              </w:rPr>
              <w:t>GHG</w:t>
            </w:r>
          </w:p>
        </w:tc>
        <w:tc>
          <w:tcPr>
            <w:tcW w:w="1259" w:type="dxa"/>
            <w:tcBorders>
              <w:bottom w:val="single" w:sz="12" w:space="0" w:color="008000"/>
            </w:tcBorders>
          </w:tcPr>
          <w:p w:rsidR="00D9026F" w:rsidRPr="008D4DFC" w:rsidRDefault="00D9026F" w:rsidP="00637F86">
            <w:pPr>
              <w:spacing w:before="60" w:after="60" w:line="240" w:lineRule="auto"/>
              <w:jc w:val="right"/>
              <w:rPr>
                <w:lang w:val="en-US"/>
              </w:rPr>
            </w:pPr>
            <w:r w:rsidRPr="008D4DFC">
              <w:rPr>
                <w:lang w:val="en-US"/>
              </w:rPr>
              <w:t>BaU</w:t>
            </w:r>
          </w:p>
        </w:tc>
        <w:tc>
          <w:tcPr>
            <w:tcW w:w="1263" w:type="dxa"/>
            <w:tcBorders>
              <w:bottom w:val="single" w:sz="12" w:space="0" w:color="008000"/>
            </w:tcBorders>
          </w:tcPr>
          <w:p w:rsidR="00D9026F" w:rsidRPr="008D4DFC" w:rsidRDefault="00D9026F" w:rsidP="00637F86">
            <w:pPr>
              <w:spacing w:before="60" w:after="60" w:line="240" w:lineRule="auto"/>
              <w:jc w:val="right"/>
              <w:rPr>
                <w:lang w:val="en-US"/>
              </w:rPr>
            </w:pPr>
            <w:r w:rsidRPr="008D4DFC">
              <w:rPr>
                <w:lang w:val="en-US"/>
              </w:rPr>
              <w:t>617</w:t>
            </w:r>
          </w:p>
        </w:tc>
        <w:tc>
          <w:tcPr>
            <w:tcW w:w="1263" w:type="dxa"/>
            <w:tcBorders>
              <w:bottom w:val="single" w:sz="12" w:space="0" w:color="008000"/>
            </w:tcBorders>
          </w:tcPr>
          <w:p w:rsidR="00D9026F" w:rsidRPr="008D4DFC" w:rsidRDefault="00D9026F" w:rsidP="00637F86">
            <w:pPr>
              <w:spacing w:before="60" w:after="60" w:line="240" w:lineRule="auto"/>
              <w:jc w:val="right"/>
              <w:rPr>
                <w:lang w:val="en-US"/>
              </w:rPr>
            </w:pPr>
            <w:r w:rsidRPr="008D4DFC">
              <w:rPr>
                <w:lang w:val="en-US"/>
              </w:rPr>
              <w:t>617</w:t>
            </w:r>
          </w:p>
        </w:tc>
        <w:tc>
          <w:tcPr>
            <w:tcW w:w="1304" w:type="dxa"/>
            <w:tcBorders>
              <w:bottom w:val="single" w:sz="12" w:space="0" w:color="008000"/>
            </w:tcBorders>
          </w:tcPr>
          <w:p w:rsidR="00D9026F" w:rsidRPr="008D4DFC" w:rsidRDefault="00D9026F" w:rsidP="00637F86">
            <w:pPr>
              <w:spacing w:before="60" w:after="60" w:line="240" w:lineRule="auto"/>
              <w:jc w:val="right"/>
              <w:rPr>
                <w:lang w:val="en-US"/>
              </w:rPr>
            </w:pPr>
            <w:r w:rsidRPr="008D4DFC">
              <w:rPr>
                <w:lang w:val="en-US"/>
              </w:rPr>
              <w:t>185</w:t>
            </w:r>
          </w:p>
        </w:tc>
      </w:tr>
    </w:tbl>
    <w:p w:rsidR="00D9026F" w:rsidRPr="008D4DFC" w:rsidRDefault="00D9026F" w:rsidP="009C4D7C">
      <w:pPr>
        <w:spacing w:after="120" w:line="240" w:lineRule="auto"/>
        <w:ind w:left="284" w:hanging="284"/>
        <w:jc w:val="both"/>
        <w:rPr>
          <w:lang w:val="en-US"/>
        </w:rPr>
      </w:pPr>
      <w:r w:rsidRPr="008D4DFC">
        <w:rPr>
          <w:lang w:val="en-US"/>
        </w:rPr>
        <w:t>Sources: EIA (2009), UNFCCC (201</w:t>
      </w:r>
      <w:r>
        <w:rPr>
          <w:lang w:val="en-US"/>
        </w:rPr>
        <w:t>1</w:t>
      </w:r>
      <w:r w:rsidRPr="008D4DFC">
        <w:rPr>
          <w:lang w:val="en-US"/>
        </w:rPr>
        <w:t>a,b)</w:t>
      </w:r>
    </w:p>
    <w:p w:rsidR="00D9026F" w:rsidRPr="008D4DFC" w:rsidRDefault="00D9026F" w:rsidP="009C4D7C">
      <w:pPr>
        <w:spacing w:after="60" w:line="240" w:lineRule="auto"/>
        <w:ind w:left="284" w:hanging="284"/>
        <w:jc w:val="both"/>
        <w:rPr>
          <w:lang w:val="en-US"/>
        </w:rPr>
      </w:pPr>
      <w:r w:rsidRPr="008D4DFC">
        <w:rPr>
          <w:lang w:val="en-US"/>
        </w:rPr>
        <w:t>Notations:</w:t>
      </w:r>
    </w:p>
    <w:p w:rsidR="00D9026F" w:rsidRPr="008D4DFC" w:rsidRDefault="00D9026F" w:rsidP="009C4D7C">
      <w:pPr>
        <w:spacing w:after="120" w:line="240" w:lineRule="auto"/>
        <w:ind w:left="284" w:hanging="284"/>
        <w:jc w:val="both"/>
        <w:rPr>
          <w:sz w:val="18"/>
          <w:szCs w:val="18"/>
          <w:lang w:val="en-US"/>
        </w:rPr>
      </w:pPr>
      <w:r w:rsidRPr="008D4DFC">
        <w:rPr>
          <w:sz w:val="18"/>
          <w:szCs w:val="18"/>
          <w:lang w:val="en-US"/>
        </w:rPr>
        <w:t xml:space="preserve">l: Lower bound of the reduction pledge range; </w:t>
      </w:r>
    </w:p>
    <w:p w:rsidR="00D9026F" w:rsidRPr="008D4DFC" w:rsidRDefault="00D9026F" w:rsidP="009C4D7C">
      <w:pPr>
        <w:spacing w:after="120" w:line="240" w:lineRule="auto"/>
        <w:ind w:left="284" w:hanging="284"/>
        <w:jc w:val="both"/>
        <w:rPr>
          <w:sz w:val="18"/>
          <w:szCs w:val="18"/>
          <w:lang w:val="en-US"/>
        </w:rPr>
      </w:pPr>
      <w:r w:rsidRPr="008D4DFC">
        <w:rPr>
          <w:sz w:val="18"/>
          <w:szCs w:val="18"/>
          <w:lang w:val="en-US"/>
        </w:rPr>
        <w:t>u: Upper bound of the reduction pledge range</w:t>
      </w:r>
    </w:p>
    <w:p w:rsidR="00D9026F" w:rsidRPr="008D4DFC" w:rsidRDefault="00D9026F" w:rsidP="009C4D7C">
      <w:pPr>
        <w:spacing w:after="120" w:line="240" w:lineRule="auto"/>
        <w:ind w:left="284" w:hanging="284"/>
        <w:jc w:val="both"/>
        <w:rPr>
          <w:sz w:val="18"/>
          <w:szCs w:val="18"/>
          <w:lang w:val="en-US"/>
        </w:rPr>
      </w:pPr>
      <w:r w:rsidRPr="008D4DFC">
        <w:rPr>
          <w:sz w:val="18"/>
          <w:szCs w:val="18"/>
          <w:lang w:val="en-US"/>
        </w:rPr>
        <w:t>Variable: GHG = Greenhouse gas emissions; GHG/GDP = Greenhouse gas emissions per unit of GDP</w:t>
      </w:r>
    </w:p>
    <w:p w:rsidR="00D9026F" w:rsidRPr="008D4DFC" w:rsidRDefault="00D9026F" w:rsidP="009C4D7C">
      <w:pPr>
        <w:spacing w:after="120" w:line="240" w:lineRule="auto"/>
        <w:ind w:left="284" w:hanging="284"/>
        <w:jc w:val="both"/>
        <w:rPr>
          <w:sz w:val="18"/>
          <w:szCs w:val="18"/>
          <w:lang w:val="en-US"/>
        </w:rPr>
      </w:pPr>
      <w:r w:rsidRPr="008D4DFC">
        <w:rPr>
          <w:sz w:val="18"/>
          <w:szCs w:val="18"/>
          <w:lang w:val="en-US"/>
        </w:rPr>
        <w:t>Base year: BaU = 2020 business-as-usual</w:t>
      </w:r>
    </w:p>
    <w:p w:rsidR="00D9026F" w:rsidRPr="008D4DFC" w:rsidRDefault="00D9026F" w:rsidP="009C4D7C">
      <w:pPr>
        <w:spacing w:after="120" w:line="240" w:lineRule="auto"/>
        <w:ind w:left="284" w:hanging="284"/>
        <w:jc w:val="both"/>
        <w:rPr>
          <w:sz w:val="18"/>
          <w:szCs w:val="18"/>
          <w:lang w:val="en-US"/>
        </w:rPr>
      </w:pPr>
      <w:r w:rsidRPr="008D4DFC">
        <w:rPr>
          <w:sz w:val="18"/>
          <w:szCs w:val="18"/>
          <w:lang w:val="en-US"/>
        </w:rPr>
        <w:t>Base year value, 2020 BaU value: Mt CO</w:t>
      </w:r>
      <w:r w:rsidRPr="008D4DFC">
        <w:rPr>
          <w:sz w:val="18"/>
          <w:szCs w:val="18"/>
          <w:vertAlign w:val="subscript"/>
          <w:lang w:val="en-US"/>
        </w:rPr>
        <w:t>2</w:t>
      </w:r>
      <w:r w:rsidRPr="008D4DFC">
        <w:rPr>
          <w:sz w:val="18"/>
          <w:szCs w:val="18"/>
          <w:lang w:val="en-US"/>
        </w:rPr>
        <w:t>/GDP in billion 2005 USD for CHN, IND; Mt CO</w:t>
      </w:r>
      <w:r w:rsidRPr="008D4DFC">
        <w:rPr>
          <w:sz w:val="18"/>
          <w:szCs w:val="18"/>
          <w:vertAlign w:val="subscript"/>
          <w:lang w:val="en-US"/>
        </w:rPr>
        <w:t>2</w:t>
      </w:r>
      <w:r w:rsidRPr="008D4DFC">
        <w:rPr>
          <w:sz w:val="18"/>
          <w:szCs w:val="18"/>
          <w:lang w:val="en-US"/>
        </w:rPr>
        <w:t xml:space="preserve"> for all other regions</w:t>
      </w:r>
    </w:p>
    <w:p w:rsidR="00D9026F" w:rsidRPr="008D4DFC" w:rsidRDefault="00D9026F" w:rsidP="009C4D7C">
      <w:pPr>
        <w:spacing w:after="120" w:line="240" w:lineRule="auto"/>
        <w:ind w:left="284" w:hanging="284"/>
        <w:jc w:val="both"/>
        <w:rPr>
          <w:sz w:val="18"/>
          <w:szCs w:val="18"/>
          <w:lang w:val="en-US"/>
        </w:rPr>
      </w:pPr>
      <w:r w:rsidRPr="008D4DFC">
        <w:rPr>
          <w:sz w:val="18"/>
          <w:szCs w:val="18"/>
          <w:lang w:val="en-US"/>
        </w:rPr>
        <w:t>2020 reduction: Mt CO</w:t>
      </w:r>
      <w:r w:rsidRPr="008D4DFC">
        <w:rPr>
          <w:sz w:val="18"/>
          <w:szCs w:val="18"/>
          <w:vertAlign w:val="subscript"/>
          <w:lang w:val="en-US"/>
        </w:rPr>
        <w:t>2</w:t>
      </w:r>
    </w:p>
    <w:p w:rsidR="00D9026F" w:rsidRDefault="00D9026F" w:rsidP="009C4D7C">
      <w:pPr>
        <w:spacing w:after="120"/>
        <w:ind w:left="284" w:hanging="284"/>
        <w:jc w:val="both"/>
        <w:rPr>
          <w:lang w:val="en-US"/>
        </w:rPr>
      </w:pPr>
    </w:p>
    <w:p w:rsidR="00D9026F" w:rsidRPr="00E5200F" w:rsidRDefault="00D9026F" w:rsidP="00E5200F">
      <w:pPr>
        <w:pStyle w:val="Heading1"/>
        <w:jc w:val="both"/>
        <w:rPr>
          <w:lang w:val="en-US"/>
        </w:rPr>
      </w:pPr>
      <w:r>
        <w:rPr>
          <w:lang w:val="en-US"/>
        </w:rPr>
        <w:br w:type="page"/>
      </w:r>
      <w:r w:rsidRPr="00E5200F">
        <w:rPr>
          <w:lang w:val="en-US"/>
        </w:rPr>
        <w:lastRenderedPageBreak/>
        <w:t xml:space="preserve">Appendix D: Different sequences of regional expansion </w:t>
      </w:r>
    </w:p>
    <w:p w:rsidR="00D9026F" w:rsidRDefault="00D9026F" w:rsidP="000B6E05">
      <w:pPr>
        <w:jc w:val="both"/>
        <w:rPr>
          <w:lang w:val="en-US"/>
        </w:rPr>
      </w:pPr>
      <w:r>
        <w:rPr>
          <w:lang w:val="en-US"/>
        </w:rPr>
        <w:t>Figure D1 shows how the cost reductions for the EU are affected by regional expansion under different sequence assumptions. We assume that the EU enters first, cf. the existing EU ETS. Then we limit our attention to sequences where countries that enter at similar stages in the scenarios above (see Table 3), continue to enter at similar stages. Thus, we have four groups of countries, i.e., USA, Japan/Canada/Australia, Russia/South_Korea/Mexico and China/India/Brazil/South_Africa. This leaves us with 24 feasible sequences.</w:t>
      </w:r>
    </w:p>
    <w:p w:rsidR="00D9026F" w:rsidRDefault="00D9026F" w:rsidP="000B6E05">
      <w:pPr>
        <w:jc w:val="both"/>
        <w:rPr>
          <w:lang w:val="en-US"/>
        </w:rPr>
      </w:pPr>
    </w:p>
    <w:p w:rsidR="00D9026F" w:rsidRDefault="00D9026F" w:rsidP="000B6E05">
      <w:pPr>
        <w:jc w:val="both"/>
        <w:rPr>
          <w:lang w:val="en-US"/>
        </w:rPr>
      </w:pPr>
      <w:r>
        <w:rPr>
          <w:lang w:val="en-US"/>
        </w:rPr>
        <w:t>We see from the figure that a coalition between the EU and the BASIC countries (topmost entry of coalition C1) provides the biggest cost reductions for the EU. Any further regional expansion can only increase costs for the EU as the ETS price rises. Bringing in the BASIC countries at later stages will always lead to a substantial gain for the EU, compared to not having the BASIC countries as part of the coalition. Bringing in the OECD countries Japan/Canada/Australia is always detrimental for the EU if other countries have already joined, as these countries will also be net buyers of quotas.</w:t>
      </w:r>
    </w:p>
    <w:p w:rsidR="00D9026F" w:rsidRDefault="00D9026F" w:rsidP="00014F22">
      <w:pPr>
        <w:spacing w:before="240" w:after="120"/>
        <w:jc w:val="both"/>
        <w:rPr>
          <w:bCs/>
          <w:lang w:val="en-US"/>
        </w:rPr>
      </w:pPr>
      <w:r w:rsidRPr="00014F22">
        <w:rPr>
          <w:bCs/>
          <w:lang w:val="en-US"/>
        </w:rPr>
        <w:t xml:space="preserve">Figure D1: Cost reductions vis-à-vis No Trade for the EU by expanding the coalition under different sequences of regional expansion (variant </w:t>
      </w:r>
      <w:r w:rsidRPr="00B07A56">
        <w:rPr>
          <w:bCs/>
          <w:i/>
          <w:lang w:val="en-US"/>
        </w:rPr>
        <w:t>EIS</w:t>
      </w:r>
      <w:r w:rsidRPr="00014F22">
        <w:rPr>
          <w:bCs/>
          <w:lang w:val="en-US"/>
        </w:rPr>
        <w:t>).</w:t>
      </w:r>
    </w:p>
    <w:p w:rsidR="00D9026F" w:rsidRPr="00B07A56" w:rsidRDefault="0083505D" w:rsidP="00014F22">
      <w:pPr>
        <w:spacing w:before="240" w:after="120"/>
        <w:jc w:val="both"/>
        <w:rPr>
          <w:bCs/>
          <w:lang w:val="en-US"/>
        </w:rPr>
      </w:pPr>
      <w:r>
        <w:rPr>
          <w:bCs/>
          <w:noProof/>
          <w:lang w:val="en-GB" w:eastAsia="en-GB"/>
        </w:rPr>
        <w:drawing>
          <wp:inline distT="0" distB="0" distL="0" distR="0">
            <wp:extent cx="4839335" cy="315722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39335" cy="3157220"/>
                    </a:xfrm>
                    <a:prstGeom prst="rect">
                      <a:avLst/>
                    </a:prstGeom>
                    <a:noFill/>
                    <a:ln>
                      <a:noFill/>
                    </a:ln>
                  </pic:spPr>
                </pic:pic>
              </a:graphicData>
            </a:graphic>
          </wp:inline>
        </w:drawing>
      </w:r>
    </w:p>
    <w:p w:rsidR="00D9026F" w:rsidRPr="008D4DFC" w:rsidRDefault="00D9026F" w:rsidP="00B07A56">
      <w:pPr>
        <w:spacing w:after="120"/>
        <w:jc w:val="both"/>
        <w:rPr>
          <w:lang w:val="en-US"/>
        </w:rPr>
      </w:pPr>
    </w:p>
    <w:sectPr w:rsidR="00D9026F" w:rsidRPr="008D4DFC" w:rsidSect="00E05033">
      <w:footerReference w:type="even" r:id="rId127"/>
      <w:footerReference w:type="default" r:id="rId1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26F" w:rsidRDefault="00D9026F">
      <w:r>
        <w:separator/>
      </w:r>
    </w:p>
  </w:endnote>
  <w:endnote w:type="continuationSeparator" w:id="0">
    <w:p w:rsidR="00D9026F" w:rsidRDefault="00D90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6F" w:rsidRDefault="00D9026F" w:rsidP="002140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026F" w:rsidRDefault="00D9026F" w:rsidP="00FE25D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26F" w:rsidRDefault="00D9026F" w:rsidP="002140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505D">
      <w:rPr>
        <w:rStyle w:val="PageNumber"/>
        <w:noProof/>
      </w:rPr>
      <w:t>1</w:t>
    </w:r>
    <w:r>
      <w:rPr>
        <w:rStyle w:val="PageNumber"/>
      </w:rPr>
      <w:fldChar w:fldCharType="end"/>
    </w:r>
  </w:p>
  <w:p w:rsidR="00D9026F" w:rsidRDefault="00D9026F" w:rsidP="00FE25D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26F" w:rsidRDefault="00D9026F">
      <w:r>
        <w:separator/>
      </w:r>
    </w:p>
  </w:footnote>
  <w:footnote w:type="continuationSeparator" w:id="0">
    <w:p w:rsidR="00D9026F" w:rsidRDefault="00D9026F">
      <w:r>
        <w:continuationSeparator/>
      </w:r>
    </w:p>
  </w:footnote>
  <w:footnote w:id="1">
    <w:p w:rsidR="00D9026F" w:rsidRDefault="00D9026F" w:rsidP="001F508D">
      <w:pPr>
        <w:pStyle w:val="FootnoteText"/>
        <w:jc w:val="both"/>
      </w:pPr>
      <w:r>
        <w:rPr>
          <w:rStyle w:val="FootnoteReference"/>
        </w:rPr>
        <w:footnoteRef/>
      </w:r>
      <w:r w:rsidRPr="0084660D">
        <w:rPr>
          <w:lang w:val="en-GB"/>
        </w:rPr>
        <w:t xml:space="preserve"> </w:t>
      </w:r>
      <w:r>
        <w:rPr>
          <w:lang w:val="en-GB"/>
        </w:rPr>
        <w:tab/>
        <w:t>For example,</w:t>
      </w:r>
      <w:r w:rsidRPr="0084660D">
        <w:rPr>
          <w:lang w:val="en-GB"/>
        </w:rPr>
        <w:t xml:space="preserve"> RGGI and WCI in the </w:t>
      </w:r>
      <w:smartTag w:uri="urn:schemas-microsoft-com:office:smarttags" w:element="country-region">
        <w:r w:rsidRPr="0084660D">
          <w:rPr>
            <w:lang w:val="en-GB"/>
          </w:rPr>
          <w:t>USA</w:t>
        </w:r>
      </w:smartTag>
      <w:r>
        <w:rPr>
          <w:lang w:val="en-GB"/>
        </w:rPr>
        <w:t xml:space="preserve">, </w:t>
      </w:r>
      <w:r w:rsidRPr="0084660D">
        <w:rPr>
          <w:lang w:val="en-GB"/>
        </w:rPr>
        <w:t xml:space="preserve">GGAS in </w:t>
      </w:r>
      <w:smartTag w:uri="urn:schemas-microsoft-com:office:smarttags" w:element="country-region">
        <w:r w:rsidRPr="0084660D">
          <w:rPr>
            <w:lang w:val="en-GB"/>
          </w:rPr>
          <w:t>Australia</w:t>
        </w:r>
      </w:smartTag>
      <w:r>
        <w:rPr>
          <w:lang w:val="en-GB"/>
        </w:rPr>
        <w:t xml:space="preserve">, or JVETS in </w:t>
      </w:r>
      <w:smartTag w:uri="urn:schemas-microsoft-com:office:smarttags" w:element="country-region">
        <w:smartTag w:uri="urn:schemas-microsoft-com:office:smarttags" w:element="place">
          <w:r>
            <w:rPr>
              <w:lang w:val="en-GB"/>
            </w:rPr>
            <w:t>Japan</w:t>
          </w:r>
        </w:smartTag>
      </w:smartTag>
      <w:r>
        <w:rPr>
          <w:lang w:val="en-GB"/>
        </w:rPr>
        <w:t xml:space="preserve"> (for an overview see Schüle and Sterk, 2009).</w:t>
      </w:r>
    </w:p>
  </w:footnote>
  <w:footnote w:id="2">
    <w:p w:rsidR="00D9026F" w:rsidRDefault="00D9026F">
      <w:pPr>
        <w:pStyle w:val="FootnoteText"/>
      </w:pPr>
      <w:r>
        <w:rPr>
          <w:rStyle w:val="FootnoteReference"/>
        </w:rPr>
        <w:footnoteRef/>
      </w:r>
      <w:r w:rsidRPr="009303F9">
        <w:rPr>
          <w:lang w:val="en-GB"/>
        </w:rPr>
        <w:t xml:space="preserve"> </w:t>
      </w:r>
      <w:r>
        <w:rPr>
          <w:lang w:val="en-GB"/>
        </w:rPr>
        <w:tab/>
        <w:t>Note that we use the terms “allowances”, “permits” and “quotas” interchangeably throughout the paper.</w:t>
      </w:r>
    </w:p>
  </w:footnote>
  <w:footnote w:id="3">
    <w:p w:rsidR="00D9026F" w:rsidRDefault="00D9026F" w:rsidP="001F508D">
      <w:pPr>
        <w:pStyle w:val="FootnoteText"/>
      </w:pPr>
      <w:r>
        <w:rPr>
          <w:rStyle w:val="FootnoteReference"/>
        </w:rPr>
        <w:footnoteRef/>
      </w:r>
      <w:r w:rsidRPr="00D54071">
        <w:rPr>
          <w:lang w:val="en-GB"/>
        </w:rPr>
        <w:t xml:space="preserve"> </w:t>
      </w:r>
      <w:r>
        <w:rPr>
          <w:lang w:val="en-GB"/>
        </w:rPr>
        <w:tab/>
      </w:r>
      <w:r w:rsidRPr="00D54071">
        <w:rPr>
          <w:lang w:val="en-GB"/>
        </w:rPr>
        <w:t>T</w:t>
      </w:r>
      <w:r>
        <w:rPr>
          <w:lang w:val="en-GB"/>
        </w:rPr>
        <w:t>he mechanism is similar to the “</w:t>
      </w:r>
      <w:r w:rsidRPr="00D54071">
        <w:rPr>
          <w:lang w:val="en-GB"/>
        </w:rPr>
        <w:t xml:space="preserve">optimal tariff” argument (e.g. Bhagwati et al., 1998, </w:t>
      </w:r>
      <w:smartTag w:uri="urn:schemas-microsoft-com:office:smarttags" w:element="country-region">
        <w:smartTag w:uri="urn:schemas-microsoft-com:office:smarttags" w:element="place">
          <w:r w:rsidRPr="00D54071">
            <w:rPr>
              <w:lang w:val="en-GB"/>
            </w:rPr>
            <w:t>Ch.</w:t>
          </w:r>
        </w:smartTag>
      </w:smartTag>
      <w:r w:rsidRPr="00D54071">
        <w:rPr>
          <w:lang w:val="en-GB"/>
        </w:rPr>
        <w:t xml:space="preserve"> 21).</w:t>
      </w:r>
    </w:p>
  </w:footnote>
  <w:footnote w:id="4">
    <w:p w:rsidR="00D9026F" w:rsidRDefault="00D9026F" w:rsidP="001F508D">
      <w:pPr>
        <w:pStyle w:val="FootnoteText"/>
      </w:pPr>
      <w:r>
        <w:rPr>
          <w:rStyle w:val="FootnoteReference"/>
        </w:rPr>
        <w:footnoteRef/>
      </w:r>
      <w:r w:rsidRPr="00D54071">
        <w:rPr>
          <w:lang w:val="en-GB"/>
        </w:rPr>
        <w:t xml:space="preserve"> We will illustrate this point in Section 2.</w:t>
      </w:r>
    </w:p>
  </w:footnote>
  <w:footnote w:id="5">
    <w:p w:rsidR="00D9026F" w:rsidRDefault="00D9026F" w:rsidP="00475702">
      <w:pPr>
        <w:pStyle w:val="FootnoteText"/>
        <w:jc w:val="both"/>
      </w:pPr>
      <w:r>
        <w:rPr>
          <w:rStyle w:val="FootnoteReference"/>
        </w:rPr>
        <w:footnoteRef/>
      </w:r>
      <w:r w:rsidRPr="00475702">
        <w:rPr>
          <w:lang w:val="en-GB"/>
        </w:rPr>
        <w:t xml:space="preserve"> </w:t>
      </w:r>
      <w:r>
        <w:rPr>
          <w:lang w:val="en-GB"/>
        </w:rPr>
        <w:tab/>
        <w:t xml:space="preserve">In line with our previous discussion, the segment </w:t>
      </w:r>
      <w:r w:rsidRPr="00475702">
        <w:rPr>
          <w:i/>
          <w:iCs/>
          <w:lang w:val="en-GB"/>
        </w:rPr>
        <w:t>T</w:t>
      </w:r>
      <w:r>
        <w:rPr>
          <w:lang w:val="en-GB"/>
        </w:rPr>
        <w:t xml:space="preserve"> obviously comprises the ETS sectors while the segment </w:t>
      </w:r>
      <w:r w:rsidRPr="00475702">
        <w:rPr>
          <w:i/>
          <w:iCs/>
          <w:lang w:val="en-GB"/>
        </w:rPr>
        <w:t>NT</w:t>
      </w:r>
      <w:r>
        <w:rPr>
          <w:lang w:val="en-GB"/>
        </w:rPr>
        <w:t xml:space="preserve"> covers the non-ETS sectors. Throughout the theoretical considerations we keep with notations </w:t>
      </w:r>
      <w:r w:rsidRPr="00475702">
        <w:rPr>
          <w:i/>
          <w:iCs/>
          <w:lang w:val="en-GB"/>
        </w:rPr>
        <w:t>T</w:t>
      </w:r>
      <w:r>
        <w:rPr>
          <w:lang w:val="en-GB"/>
        </w:rPr>
        <w:t xml:space="preserve"> and </w:t>
      </w:r>
      <w:r w:rsidRPr="00475702">
        <w:rPr>
          <w:i/>
          <w:iCs/>
          <w:lang w:val="en-GB"/>
        </w:rPr>
        <w:t>NT</w:t>
      </w:r>
      <w:r>
        <w:rPr>
          <w:lang w:val="en-GB"/>
        </w:rPr>
        <w:t xml:space="preserve"> for the sake of brevity.</w:t>
      </w:r>
    </w:p>
  </w:footnote>
  <w:footnote w:id="6">
    <w:p w:rsidR="00D9026F" w:rsidRDefault="00D9026F" w:rsidP="00475702">
      <w:pPr>
        <w:pStyle w:val="FootnoteText"/>
        <w:jc w:val="both"/>
      </w:pPr>
      <w:r>
        <w:rPr>
          <w:rStyle w:val="FootnoteReference"/>
        </w:rPr>
        <w:footnoteRef/>
      </w:r>
      <w:r w:rsidRPr="00D54071">
        <w:rPr>
          <w:lang w:val="en-GB"/>
        </w:rPr>
        <w:t xml:space="preserve"> </w:t>
      </w:r>
      <w:r>
        <w:rPr>
          <w:lang w:val="en-GB"/>
        </w:rPr>
        <w:tab/>
      </w:r>
      <w:r w:rsidRPr="00032C9E">
        <w:rPr>
          <w:lang w:val="en-US"/>
        </w:rPr>
        <w:t>It makes no difference to our analysis whether the national government auctions or grandfathers the permits to its firms, or (in the latter case) how it distributes the permits among its firms. This is because we assume the permit market is perfectly competitive for firms, and because we are only interested in the welfare of the country as a whole.</w:t>
      </w:r>
    </w:p>
  </w:footnote>
  <w:footnote w:id="7">
    <w:p w:rsidR="00D9026F" w:rsidRDefault="00D9026F" w:rsidP="00475702">
      <w:pPr>
        <w:pStyle w:val="FootnoteText"/>
        <w:jc w:val="both"/>
      </w:pPr>
      <w:r>
        <w:rPr>
          <w:rStyle w:val="FootnoteReference"/>
        </w:rPr>
        <w:footnoteRef/>
      </w:r>
      <w:r w:rsidRPr="00506791">
        <w:rPr>
          <w:lang w:val="en-GB"/>
        </w:rPr>
        <w:t xml:space="preserve"> </w:t>
      </w:r>
      <w:r>
        <w:rPr>
          <w:lang w:val="en-GB"/>
        </w:rPr>
        <w:t xml:space="preserve">In the numerical simulations below we require </w:t>
      </w:r>
      <w:r w:rsidRPr="00506791">
        <w:rPr>
          <w:i/>
          <w:lang w:val="en-GB"/>
        </w:rPr>
        <w:t>q</w:t>
      </w:r>
      <w:r w:rsidRPr="00506791">
        <w:rPr>
          <w:i/>
          <w:vertAlign w:val="subscript"/>
          <w:lang w:val="en-GB"/>
        </w:rPr>
        <w:t>i</w:t>
      </w:r>
      <w:r>
        <w:rPr>
          <w:lang w:val="en-GB"/>
        </w:rPr>
        <w:t xml:space="preserve"> ≥ 0, i.e., the allocation to the trading segment has to be non-negative. We then get interior solutions in all cases except one (cf. Section 4). In that particular case the optimal allocation (if permitted) would be negative, and hence </w:t>
      </w:r>
      <w:r w:rsidRPr="00506791">
        <w:rPr>
          <w:i/>
          <w:lang w:val="en-GB"/>
        </w:rPr>
        <w:t>q</w:t>
      </w:r>
      <w:r w:rsidRPr="00506791">
        <w:rPr>
          <w:i/>
          <w:vertAlign w:val="subscript"/>
          <w:lang w:val="en-GB"/>
        </w:rPr>
        <w:t>i</w:t>
      </w:r>
      <w:r>
        <w:rPr>
          <w:lang w:val="en-GB"/>
        </w:rPr>
        <w:t xml:space="preserve"> = 0. Then marginal costs in the non-trading segment exceeds marginal revenue. </w:t>
      </w:r>
    </w:p>
  </w:footnote>
  <w:footnote w:id="8">
    <w:p w:rsidR="00D9026F" w:rsidRDefault="00D9026F" w:rsidP="00475702">
      <w:pPr>
        <w:ind w:left="180" w:hanging="180"/>
        <w:jc w:val="both"/>
      </w:pPr>
      <w:r>
        <w:rPr>
          <w:rStyle w:val="FootnoteReference"/>
        </w:rPr>
        <w:footnoteRef/>
      </w:r>
      <w:r w:rsidRPr="00475702">
        <w:rPr>
          <w:lang w:val="en-GB"/>
        </w:rPr>
        <w:t xml:space="preserve"> </w:t>
      </w:r>
      <w:r>
        <w:rPr>
          <w:lang w:val="en-GB"/>
        </w:rPr>
        <w:tab/>
      </w:r>
      <w:r w:rsidRPr="00475702">
        <w:rPr>
          <w:sz w:val="18"/>
          <w:szCs w:val="18"/>
          <w:lang w:val="en-US"/>
        </w:rPr>
        <w:t xml:space="preserve">We assume throughout that all reaction curves are downward sloping (i.e., </w:t>
      </w:r>
      <w:r w:rsidRPr="00475702">
        <w:rPr>
          <w:i/>
          <w:sz w:val="18"/>
          <w:szCs w:val="18"/>
          <w:lang w:val="en-US"/>
        </w:rPr>
        <w:t>dq</w:t>
      </w:r>
      <w:r w:rsidRPr="00475702">
        <w:rPr>
          <w:i/>
          <w:sz w:val="18"/>
          <w:szCs w:val="18"/>
          <w:vertAlign w:val="subscript"/>
          <w:lang w:val="en-US"/>
        </w:rPr>
        <w:t xml:space="preserve">i </w:t>
      </w:r>
      <w:r w:rsidRPr="00475702">
        <w:rPr>
          <w:i/>
          <w:sz w:val="18"/>
          <w:szCs w:val="18"/>
          <w:lang w:val="en-US"/>
        </w:rPr>
        <w:t>/dq</w:t>
      </w:r>
      <w:r w:rsidRPr="00475702">
        <w:rPr>
          <w:i/>
          <w:sz w:val="18"/>
          <w:szCs w:val="18"/>
          <w:vertAlign w:val="subscript"/>
          <w:lang w:val="en-US"/>
        </w:rPr>
        <w:t>j</w:t>
      </w:r>
      <w:r w:rsidRPr="00475702">
        <w:rPr>
          <w:sz w:val="18"/>
          <w:szCs w:val="18"/>
          <w:lang w:val="en-US"/>
        </w:rPr>
        <w:t xml:space="preserve"> &lt; 0 for all </w:t>
      </w:r>
      <w:r w:rsidRPr="00475702">
        <w:rPr>
          <w:i/>
          <w:sz w:val="18"/>
          <w:szCs w:val="18"/>
          <w:lang w:val="en-US"/>
        </w:rPr>
        <w:t>i,j</w:t>
      </w:r>
      <w:r w:rsidRPr="00475702">
        <w:rPr>
          <w:sz w:val="18"/>
          <w:szCs w:val="18"/>
          <w:lang w:val="en-US"/>
        </w:rPr>
        <w:t>)</w:t>
      </w:r>
      <w:r w:rsidRPr="00475702">
        <w:rPr>
          <w:i/>
          <w:sz w:val="18"/>
          <w:szCs w:val="18"/>
          <w:lang w:val="en-US"/>
        </w:rPr>
        <w:t>,</w:t>
      </w:r>
      <w:r w:rsidRPr="00475702">
        <w:rPr>
          <w:sz w:val="18"/>
          <w:szCs w:val="18"/>
          <w:lang w:val="en-US"/>
        </w:rPr>
        <w:t xml:space="preserve"> and that there is a stable and unique Nash equilibrium.</w:t>
      </w:r>
    </w:p>
  </w:footnote>
  <w:footnote w:id="9">
    <w:p w:rsidR="00D9026F" w:rsidRDefault="00D9026F">
      <w:pPr>
        <w:pStyle w:val="FootnoteText"/>
      </w:pPr>
      <w:r>
        <w:rPr>
          <w:rStyle w:val="FootnoteReference"/>
        </w:rPr>
        <w:footnoteRef/>
      </w:r>
      <w:r w:rsidRPr="00475702">
        <w:rPr>
          <w:lang w:val="en-GB"/>
        </w:rPr>
        <w:t xml:space="preserve"> </w:t>
      </w:r>
      <w:r>
        <w:rPr>
          <w:lang w:val="en-GB"/>
        </w:rPr>
        <w:t xml:space="preserve">Obviously, strategic allowance allocation provides additional cost savings for the joining country compared to competitive behaviour, i.e., the difference between </w:t>
      </w:r>
      <w:r>
        <w:rPr>
          <w:lang w:val="en-US"/>
        </w:rPr>
        <w:t xml:space="preserve">the light-shaded </w:t>
      </w:r>
      <w:r w:rsidRPr="0078169A">
        <w:rPr>
          <w:lang w:val="en-US"/>
        </w:rPr>
        <w:t>quadrangle</w:t>
      </w:r>
      <w:r>
        <w:rPr>
          <w:lang w:val="en-US"/>
        </w:rPr>
        <w:t xml:space="preserve"> and the dark-shaded triangle must be positive.</w:t>
      </w:r>
    </w:p>
  </w:footnote>
  <w:footnote w:id="10">
    <w:p w:rsidR="00D9026F" w:rsidRDefault="00D9026F" w:rsidP="00C26C8C">
      <w:pPr>
        <w:pStyle w:val="FootnoteText"/>
        <w:jc w:val="both"/>
      </w:pPr>
      <w:r>
        <w:rPr>
          <w:rStyle w:val="FootnoteReference"/>
        </w:rPr>
        <w:footnoteRef/>
      </w:r>
      <w:r w:rsidRPr="00475702">
        <w:rPr>
          <w:lang w:val="en-GB"/>
        </w:rPr>
        <w:t xml:space="preserve"> </w:t>
      </w:r>
      <w:r w:rsidRPr="00BA6FE8">
        <w:rPr>
          <w:lang w:val="en-GB"/>
        </w:rPr>
        <w:t xml:space="preserve">A flat marginal cost curve </w:t>
      </w:r>
      <w:r>
        <w:rPr>
          <w:lang w:val="en-GB"/>
        </w:rPr>
        <w:t>implies</w:t>
      </w:r>
      <w:r w:rsidRPr="00BA6FE8">
        <w:rPr>
          <w:lang w:val="en-GB"/>
        </w:rPr>
        <w:t xml:space="preserve"> only a small cost of letting the permit allocation deviate from the point where marginal costs equal the permit price.</w:t>
      </w:r>
    </w:p>
  </w:footnote>
  <w:footnote w:id="11">
    <w:p w:rsidR="00D9026F" w:rsidRDefault="00D9026F" w:rsidP="00475702">
      <w:pPr>
        <w:pStyle w:val="FootnoteText"/>
        <w:jc w:val="both"/>
      </w:pPr>
      <w:r>
        <w:rPr>
          <w:rStyle w:val="FootnoteReference"/>
        </w:rPr>
        <w:footnoteRef/>
      </w:r>
      <w:r w:rsidRPr="009303F9">
        <w:rPr>
          <w:lang w:val="en-GB"/>
        </w:rPr>
        <w:t xml:space="preserve"> </w:t>
      </w:r>
      <w:r>
        <w:rPr>
          <w:lang w:val="en-GB"/>
        </w:rPr>
        <w:t xml:space="preserve">In our quantitative analysis based on empirical data the aggregate marginal abatement cost functions for the non-trading segment is always strictly convex for any country. </w:t>
      </w:r>
    </w:p>
  </w:footnote>
  <w:footnote w:id="12">
    <w:p w:rsidR="00D9026F" w:rsidRDefault="00D9026F" w:rsidP="00475702">
      <w:pPr>
        <w:pStyle w:val="FootnoteText"/>
        <w:jc w:val="both"/>
      </w:pPr>
      <w:r>
        <w:rPr>
          <w:rStyle w:val="FootnoteReference"/>
        </w:rPr>
        <w:footnoteRef/>
      </w:r>
      <w:r w:rsidRPr="009303F9">
        <w:rPr>
          <w:lang w:val="en-GB"/>
        </w:rPr>
        <w:t xml:space="preserve"> In Figure 3, the gaps are given by the dark thick vertical line above </w:t>
      </w:r>
      <w:r w:rsidRPr="00C62899">
        <w:rPr>
          <w:position w:val="-10"/>
          <w:lang w:val="en-GB"/>
        </w:rPr>
        <w:object w:dxaOrig="260" w:dyaOrig="340">
          <v:shape id="_x0000_i1112" type="#_x0000_t75" style="width:10.2pt;height:13.6pt" o:ole="">
            <v:imagedata r:id="rId1" o:title=""/>
          </v:shape>
          <o:OLEObject Type="Embed" ProgID="Equation.DSMT4" ShapeID="_x0000_i1112" DrawAspect="Content" ObjectID="_1514967694" r:id="rId2"/>
        </w:object>
      </w:r>
      <w:r w:rsidRPr="009303F9">
        <w:rPr>
          <w:lang w:val="en-GB"/>
        </w:rPr>
        <w:t xml:space="preserve">for country 1 and the grey plus the dark thick vertical lines above </w:t>
      </w:r>
      <w:r w:rsidRPr="009303F9">
        <w:rPr>
          <w:i/>
          <w:lang w:val="en-GB"/>
        </w:rPr>
        <w:t>q</w:t>
      </w:r>
      <w:r w:rsidRPr="009303F9">
        <w:rPr>
          <w:vertAlign w:val="subscript"/>
          <w:lang w:val="en-GB"/>
        </w:rPr>
        <w:t>2</w:t>
      </w:r>
      <w:r w:rsidRPr="009303F9">
        <w:rPr>
          <w:lang w:val="en-GB"/>
        </w:rPr>
        <w:t xml:space="preserve"> for country 2.</w:t>
      </w:r>
    </w:p>
  </w:footnote>
  <w:footnote w:id="13">
    <w:p w:rsidR="00D9026F" w:rsidRDefault="00D9026F" w:rsidP="00475702">
      <w:pPr>
        <w:pStyle w:val="FootnoteText"/>
        <w:jc w:val="both"/>
      </w:pPr>
      <w:r>
        <w:rPr>
          <w:rStyle w:val="FootnoteReference"/>
        </w:rPr>
        <w:footnoteRef/>
      </w:r>
      <w:r w:rsidRPr="009303F9">
        <w:rPr>
          <w:lang w:val="en-GB"/>
        </w:rPr>
        <w:t xml:space="preserve"> The gap between the international permit price and marginal abatement cost in the non-trading </w:t>
      </w:r>
      <w:r>
        <w:rPr>
          <w:lang w:val="en-GB"/>
        </w:rPr>
        <w:t>segment</w:t>
      </w:r>
      <w:r w:rsidRPr="009303F9">
        <w:rPr>
          <w:lang w:val="en-GB"/>
        </w:rPr>
        <w:t xml:space="preserve"> is given by the dark thick vertical lines above </w:t>
      </w:r>
      <w:r w:rsidRPr="009303F9">
        <w:rPr>
          <w:i/>
          <w:lang w:val="en-GB"/>
        </w:rPr>
        <w:t>q</w:t>
      </w:r>
      <w:r w:rsidRPr="009303F9">
        <w:rPr>
          <w:vertAlign w:val="subscript"/>
          <w:lang w:val="en-GB"/>
        </w:rPr>
        <w:t>1</w:t>
      </w:r>
      <w:r w:rsidRPr="009303F9">
        <w:rPr>
          <w:lang w:val="en-GB"/>
        </w:rPr>
        <w:t xml:space="preserve"> and </w:t>
      </w:r>
      <w:r w:rsidRPr="009303F9">
        <w:rPr>
          <w:i/>
          <w:lang w:val="en-GB"/>
        </w:rPr>
        <w:t>q</w:t>
      </w:r>
      <w:r w:rsidRPr="009303F9">
        <w:rPr>
          <w:vertAlign w:val="subscript"/>
          <w:lang w:val="en-GB"/>
        </w:rPr>
        <w:t>2</w:t>
      </w:r>
      <w:r w:rsidRPr="009303F9">
        <w:rPr>
          <w:lang w:val="en-GB"/>
        </w:rPr>
        <w:t xml:space="preserve"> respectively. </w:t>
      </w:r>
    </w:p>
  </w:footnote>
  <w:footnote w:id="14">
    <w:p w:rsidR="00D9026F" w:rsidRDefault="00D9026F" w:rsidP="00C26C8C">
      <w:pPr>
        <w:pStyle w:val="FootnoteText"/>
        <w:jc w:val="both"/>
      </w:pPr>
      <w:r>
        <w:rPr>
          <w:rStyle w:val="FootnoteReference"/>
        </w:rPr>
        <w:footnoteRef/>
      </w:r>
      <w:r w:rsidRPr="00D54071">
        <w:rPr>
          <w:lang w:val="en-GB"/>
        </w:rPr>
        <w:t xml:space="preserve"> </w:t>
      </w:r>
      <w:r>
        <w:rPr>
          <w:lang w:val="en-GB"/>
        </w:rPr>
        <w:t>We abstract from transaction costs which may be prohibitively high for a large group of small polluters. Betz et al. (2010) discuss the optimal coverage of the EU ETS, taking transaction costs into account.</w:t>
      </w:r>
    </w:p>
  </w:footnote>
  <w:footnote w:id="15">
    <w:p w:rsidR="00D9026F" w:rsidRDefault="00D9026F">
      <w:pPr>
        <w:pStyle w:val="FootnoteText"/>
      </w:pPr>
      <w:r>
        <w:rPr>
          <w:rStyle w:val="FootnoteReference"/>
        </w:rPr>
        <w:footnoteRef/>
      </w:r>
      <w:r w:rsidRPr="00496DBA">
        <w:rPr>
          <w:lang w:val="en-GB"/>
        </w:rPr>
        <w:t xml:space="preserve"> </w:t>
      </w:r>
      <w:r>
        <w:rPr>
          <w:lang w:val="en-GB"/>
        </w:rPr>
        <w:t>The model code and the data to reproduce all simulation results are readily available from the corresponding author upon request.</w:t>
      </w:r>
    </w:p>
  </w:footnote>
  <w:footnote w:id="16">
    <w:p w:rsidR="00D9026F" w:rsidRDefault="00D9026F">
      <w:pPr>
        <w:pStyle w:val="FootnoteText"/>
      </w:pPr>
      <w:r>
        <w:rPr>
          <w:rStyle w:val="FootnoteReference"/>
        </w:rPr>
        <w:footnoteRef/>
      </w:r>
      <w:r w:rsidRPr="00550328">
        <w:rPr>
          <w:lang w:val="en-GB"/>
        </w:rPr>
        <w:t xml:space="preserve"> </w:t>
      </w:r>
      <w:r>
        <w:rPr>
          <w:lang w:val="en-US"/>
        </w:rPr>
        <w:t>The RGGI cap-and-trade system in nine Northeastern states of the U.S. covers only the power market (www.rggi.org).</w:t>
      </w:r>
    </w:p>
  </w:footnote>
  <w:footnote w:id="17">
    <w:p w:rsidR="00D9026F" w:rsidRDefault="00D9026F" w:rsidP="00CD3E40">
      <w:pPr>
        <w:pStyle w:val="FootnoteText"/>
        <w:jc w:val="both"/>
      </w:pPr>
      <w:r>
        <w:rPr>
          <w:rStyle w:val="FootnoteReference"/>
        </w:rPr>
        <w:footnoteRef/>
      </w:r>
      <w:r>
        <w:rPr>
          <w:lang w:val="en-GB"/>
        </w:rPr>
        <w:t xml:space="preserve"> </w:t>
      </w:r>
      <w:r w:rsidRPr="00C15504">
        <w:rPr>
          <w:lang w:val="en-GB"/>
        </w:rPr>
        <w:t>With regard to where-flexibility</w:t>
      </w:r>
      <w:r>
        <w:rPr>
          <w:lang w:val="en-GB"/>
        </w:rPr>
        <w:t xml:space="preserve"> </w:t>
      </w:r>
      <w:r w:rsidRPr="00C15504">
        <w:rPr>
          <w:lang w:val="en-GB"/>
        </w:rPr>
        <w:t>the Kyoto Protocol allows for the use of three</w:t>
      </w:r>
      <w:r>
        <w:rPr>
          <w:lang w:val="en-GB"/>
        </w:rPr>
        <w:t xml:space="preserve"> </w:t>
      </w:r>
      <w:r w:rsidRPr="00C15504">
        <w:rPr>
          <w:lang w:val="en-GB"/>
        </w:rPr>
        <w:t>flexible instruments:</w:t>
      </w:r>
      <w:r>
        <w:rPr>
          <w:lang w:val="en-GB"/>
        </w:rPr>
        <w:t xml:space="preserve"> </w:t>
      </w:r>
      <w:r w:rsidRPr="00C15504">
        <w:rPr>
          <w:lang w:val="en-GB"/>
        </w:rPr>
        <w:t>(i) international emissions trading (IET) between</w:t>
      </w:r>
      <w:r>
        <w:rPr>
          <w:lang w:val="en-GB"/>
        </w:rPr>
        <w:t xml:space="preserve"> </w:t>
      </w:r>
      <w:r w:rsidRPr="00C15504">
        <w:rPr>
          <w:lang w:val="en-GB"/>
        </w:rPr>
        <w:t>Annex B countries; (ii) joint implementation (JI)</w:t>
      </w:r>
      <w:r>
        <w:rPr>
          <w:lang w:val="en-GB"/>
        </w:rPr>
        <w:t xml:space="preserve"> </w:t>
      </w:r>
      <w:r w:rsidRPr="00C15504">
        <w:rPr>
          <w:lang w:val="en-GB"/>
        </w:rPr>
        <w:t>between Annex B countries; and (iii) the Clean</w:t>
      </w:r>
      <w:r>
        <w:rPr>
          <w:lang w:val="en-GB"/>
        </w:rPr>
        <w:t xml:space="preserve"> </w:t>
      </w:r>
      <w:r w:rsidRPr="00C15504">
        <w:rPr>
          <w:lang w:val="en-GB"/>
        </w:rPr>
        <w:t>Development Mechanism (CDM) between Annex</w:t>
      </w:r>
      <w:r>
        <w:rPr>
          <w:lang w:val="en-GB"/>
        </w:rPr>
        <w:t xml:space="preserve"> </w:t>
      </w:r>
      <w:r w:rsidRPr="00C15504">
        <w:rPr>
          <w:lang w:val="en-GB"/>
        </w:rPr>
        <w:t>B countries and non-Annex B countries.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6267F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7490A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2CA123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D72679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1CAB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F8AE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78D7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D8874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3AFA0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EBA17A0"/>
    <w:lvl w:ilvl="0">
      <w:start w:val="1"/>
      <w:numFmt w:val="bullet"/>
      <w:lvlText w:val=""/>
      <w:lvlJc w:val="left"/>
      <w:pPr>
        <w:tabs>
          <w:tab w:val="num" w:pos="360"/>
        </w:tabs>
        <w:ind w:left="360" w:hanging="360"/>
      </w:pPr>
      <w:rPr>
        <w:rFonts w:ascii="Symbol" w:hAnsi="Symbol" w:hint="default"/>
      </w:rPr>
    </w:lvl>
  </w:abstractNum>
  <w:abstractNum w:abstractNumId="10">
    <w:nsid w:val="01AA140B"/>
    <w:multiLevelType w:val="hybridMultilevel"/>
    <w:tmpl w:val="2B7CB5FE"/>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01DF70A6"/>
    <w:multiLevelType w:val="hybridMultilevel"/>
    <w:tmpl w:val="C04471BA"/>
    <w:lvl w:ilvl="0" w:tplc="EDD0EF7A">
      <w:numFmt w:val="bullet"/>
      <w:lvlText w:val="-"/>
      <w:lvlJc w:val="left"/>
      <w:pPr>
        <w:tabs>
          <w:tab w:val="num" w:pos="360"/>
        </w:tabs>
        <w:ind w:left="360" w:hanging="360"/>
      </w:pPr>
      <w:rPr>
        <w:rFonts w:ascii="Verdana" w:eastAsia="Times New Roman" w:hAnsi="Verdana"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099679B0"/>
    <w:multiLevelType w:val="hybridMultilevel"/>
    <w:tmpl w:val="7014294C"/>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nsid w:val="290C6AEB"/>
    <w:multiLevelType w:val="hybridMultilevel"/>
    <w:tmpl w:val="DA6623B8"/>
    <w:lvl w:ilvl="0" w:tplc="AAD8D00C">
      <w:start w:val="1"/>
      <w:numFmt w:val="lowerRoman"/>
      <w:lvlText w:val="(%1)"/>
      <w:lvlJc w:val="left"/>
      <w:pPr>
        <w:tabs>
          <w:tab w:val="num" w:pos="1080"/>
        </w:tabs>
        <w:ind w:left="108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nsid w:val="35A007AB"/>
    <w:multiLevelType w:val="hybridMultilevel"/>
    <w:tmpl w:val="5EA0AA10"/>
    <w:lvl w:ilvl="0" w:tplc="4978D8C4">
      <w:start w:val="1"/>
      <w:numFmt w:val="lowerRoman"/>
      <w:lvlText w:val="(%1)"/>
      <w:lvlJc w:val="left"/>
      <w:pPr>
        <w:tabs>
          <w:tab w:val="num" w:pos="1080"/>
        </w:tabs>
        <w:ind w:left="108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
    <w:nsid w:val="47166C9F"/>
    <w:multiLevelType w:val="multilevel"/>
    <w:tmpl w:val="1F5C98A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
    <w:nsid w:val="61497014"/>
    <w:multiLevelType w:val="hybridMultilevel"/>
    <w:tmpl w:val="C28E6ADC"/>
    <w:lvl w:ilvl="0" w:tplc="59080C1A">
      <w:start w:val="1"/>
      <w:numFmt w:val="upp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nsid w:val="69996E30"/>
    <w:multiLevelType w:val="hybridMultilevel"/>
    <w:tmpl w:val="CB8EADF4"/>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
    <w:nsid w:val="711619A7"/>
    <w:multiLevelType w:val="hybridMultilevel"/>
    <w:tmpl w:val="A12243B0"/>
    <w:lvl w:ilvl="0" w:tplc="0407000F">
      <w:start w:val="1"/>
      <w:numFmt w:val="decimal"/>
      <w:lvlText w:val="%1."/>
      <w:lvlJc w:val="left"/>
      <w:pPr>
        <w:tabs>
          <w:tab w:val="num" w:pos="360"/>
        </w:tabs>
        <w:ind w:left="360" w:hanging="360"/>
      </w:pPr>
      <w:rPr>
        <w:rFonts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71644B68"/>
    <w:multiLevelType w:val="hybridMultilevel"/>
    <w:tmpl w:val="ADDEBB76"/>
    <w:lvl w:ilvl="0" w:tplc="024EDCDC">
      <w:start w:val="2"/>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20">
    <w:nsid w:val="77EA29F0"/>
    <w:multiLevelType w:val="multilevel"/>
    <w:tmpl w:val="45067338"/>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4"/>
  </w:num>
  <w:num w:numId="13">
    <w:abstractNumId w:val="13"/>
  </w:num>
  <w:num w:numId="14">
    <w:abstractNumId w:val="19"/>
  </w:num>
  <w:num w:numId="15">
    <w:abstractNumId w:val="11"/>
  </w:num>
  <w:num w:numId="16">
    <w:abstractNumId w:val="18"/>
  </w:num>
  <w:num w:numId="17">
    <w:abstractNumId w:val="12"/>
  </w:num>
  <w:num w:numId="18">
    <w:abstractNumId w:val="17"/>
  </w:num>
  <w:num w:numId="19">
    <w:abstractNumId w:val="10"/>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382"/>
    <w:rsid w:val="00000042"/>
    <w:rsid w:val="00001168"/>
    <w:rsid w:val="00003429"/>
    <w:rsid w:val="00003BEF"/>
    <w:rsid w:val="00003F89"/>
    <w:rsid w:val="00004460"/>
    <w:rsid w:val="00004B28"/>
    <w:rsid w:val="00006D7D"/>
    <w:rsid w:val="000072A2"/>
    <w:rsid w:val="000130B2"/>
    <w:rsid w:val="000136C7"/>
    <w:rsid w:val="00014F22"/>
    <w:rsid w:val="00016EAD"/>
    <w:rsid w:val="00017555"/>
    <w:rsid w:val="000210D4"/>
    <w:rsid w:val="0002116A"/>
    <w:rsid w:val="00022DF7"/>
    <w:rsid w:val="000237E0"/>
    <w:rsid w:val="000263DC"/>
    <w:rsid w:val="00030447"/>
    <w:rsid w:val="000307A5"/>
    <w:rsid w:val="00030B0C"/>
    <w:rsid w:val="00031152"/>
    <w:rsid w:val="00032C9E"/>
    <w:rsid w:val="00032FBD"/>
    <w:rsid w:val="00033D40"/>
    <w:rsid w:val="00033E21"/>
    <w:rsid w:val="00034531"/>
    <w:rsid w:val="000365C9"/>
    <w:rsid w:val="00036D95"/>
    <w:rsid w:val="00037709"/>
    <w:rsid w:val="00043247"/>
    <w:rsid w:val="000437BA"/>
    <w:rsid w:val="00044F09"/>
    <w:rsid w:val="00045AE0"/>
    <w:rsid w:val="00045F04"/>
    <w:rsid w:val="00046126"/>
    <w:rsid w:val="00046E62"/>
    <w:rsid w:val="0004797E"/>
    <w:rsid w:val="00051035"/>
    <w:rsid w:val="00051287"/>
    <w:rsid w:val="00052843"/>
    <w:rsid w:val="00054C7D"/>
    <w:rsid w:val="000553F5"/>
    <w:rsid w:val="00060029"/>
    <w:rsid w:val="0006068C"/>
    <w:rsid w:val="00062F5C"/>
    <w:rsid w:val="00063258"/>
    <w:rsid w:val="00063739"/>
    <w:rsid w:val="0006659A"/>
    <w:rsid w:val="00067E96"/>
    <w:rsid w:val="00072E9E"/>
    <w:rsid w:val="0007589A"/>
    <w:rsid w:val="0007729A"/>
    <w:rsid w:val="00077920"/>
    <w:rsid w:val="00080517"/>
    <w:rsid w:val="000838AE"/>
    <w:rsid w:val="00083D0F"/>
    <w:rsid w:val="0008567B"/>
    <w:rsid w:val="00087DB6"/>
    <w:rsid w:val="00090042"/>
    <w:rsid w:val="00097DD0"/>
    <w:rsid w:val="000A0881"/>
    <w:rsid w:val="000A0EE3"/>
    <w:rsid w:val="000A2232"/>
    <w:rsid w:val="000A662A"/>
    <w:rsid w:val="000A6CB6"/>
    <w:rsid w:val="000B22EB"/>
    <w:rsid w:val="000B3042"/>
    <w:rsid w:val="000B3174"/>
    <w:rsid w:val="000B4027"/>
    <w:rsid w:val="000B5032"/>
    <w:rsid w:val="000B5946"/>
    <w:rsid w:val="000B6666"/>
    <w:rsid w:val="000B6E05"/>
    <w:rsid w:val="000B789E"/>
    <w:rsid w:val="000B7DFF"/>
    <w:rsid w:val="000C5853"/>
    <w:rsid w:val="000C7B0C"/>
    <w:rsid w:val="000C7BC9"/>
    <w:rsid w:val="000C7F7A"/>
    <w:rsid w:val="000D15B1"/>
    <w:rsid w:val="000D3B93"/>
    <w:rsid w:val="000D414D"/>
    <w:rsid w:val="000D4222"/>
    <w:rsid w:val="000D4A4B"/>
    <w:rsid w:val="000D54B5"/>
    <w:rsid w:val="000D58B7"/>
    <w:rsid w:val="000E16CB"/>
    <w:rsid w:val="000E2A5B"/>
    <w:rsid w:val="000E2CA4"/>
    <w:rsid w:val="000E317E"/>
    <w:rsid w:val="000E37ED"/>
    <w:rsid w:val="000E4A68"/>
    <w:rsid w:val="000E74AC"/>
    <w:rsid w:val="000F48B9"/>
    <w:rsid w:val="000F5E10"/>
    <w:rsid w:val="0010153C"/>
    <w:rsid w:val="00104136"/>
    <w:rsid w:val="00106BA9"/>
    <w:rsid w:val="0011071A"/>
    <w:rsid w:val="001139A4"/>
    <w:rsid w:val="0011527C"/>
    <w:rsid w:val="0011554B"/>
    <w:rsid w:val="0011657C"/>
    <w:rsid w:val="0012189C"/>
    <w:rsid w:val="001229A7"/>
    <w:rsid w:val="001249E1"/>
    <w:rsid w:val="00131329"/>
    <w:rsid w:val="00131619"/>
    <w:rsid w:val="001331EB"/>
    <w:rsid w:val="00133698"/>
    <w:rsid w:val="0013472D"/>
    <w:rsid w:val="00135DA2"/>
    <w:rsid w:val="00136087"/>
    <w:rsid w:val="001406DA"/>
    <w:rsid w:val="00140A59"/>
    <w:rsid w:val="0014165F"/>
    <w:rsid w:val="0014267E"/>
    <w:rsid w:val="001439F0"/>
    <w:rsid w:val="001442E2"/>
    <w:rsid w:val="001456C6"/>
    <w:rsid w:val="00150E70"/>
    <w:rsid w:val="00156029"/>
    <w:rsid w:val="00156D41"/>
    <w:rsid w:val="00160C2E"/>
    <w:rsid w:val="00160CA9"/>
    <w:rsid w:val="00160F20"/>
    <w:rsid w:val="00163A6B"/>
    <w:rsid w:val="001677EA"/>
    <w:rsid w:val="00171460"/>
    <w:rsid w:val="00171E02"/>
    <w:rsid w:val="00173755"/>
    <w:rsid w:val="00180CC6"/>
    <w:rsid w:val="00184174"/>
    <w:rsid w:val="00185152"/>
    <w:rsid w:val="00185AF2"/>
    <w:rsid w:val="00186CEB"/>
    <w:rsid w:val="001911A8"/>
    <w:rsid w:val="001927D8"/>
    <w:rsid w:val="001946C1"/>
    <w:rsid w:val="00194A31"/>
    <w:rsid w:val="001960CF"/>
    <w:rsid w:val="001A216B"/>
    <w:rsid w:val="001A24AA"/>
    <w:rsid w:val="001A515F"/>
    <w:rsid w:val="001A5565"/>
    <w:rsid w:val="001A6395"/>
    <w:rsid w:val="001B0C00"/>
    <w:rsid w:val="001B1B54"/>
    <w:rsid w:val="001B2073"/>
    <w:rsid w:val="001C0544"/>
    <w:rsid w:val="001C1641"/>
    <w:rsid w:val="001C2270"/>
    <w:rsid w:val="001C39BB"/>
    <w:rsid w:val="001C534D"/>
    <w:rsid w:val="001C6E9C"/>
    <w:rsid w:val="001D070D"/>
    <w:rsid w:val="001D2E82"/>
    <w:rsid w:val="001D3018"/>
    <w:rsid w:val="001D431A"/>
    <w:rsid w:val="001D4623"/>
    <w:rsid w:val="001D6AD0"/>
    <w:rsid w:val="001D6FF2"/>
    <w:rsid w:val="001D72BE"/>
    <w:rsid w:val="001D7841"/>
    <w:rsid w:val="001D7878"/>
    <w:rsid w:val="001E1242"/>
    <w:rsid w:val="001E22E1"/>
    <w:rsid w:val="001E2B37"/>
    <w:rsid w:val="001E3968"/>
    <w:rsid w:val="001E529E"/>
    <w:rsid w:val="001E7B3A"/>
    <w:rsid w:val="001F00EC"/>
    <w:rsid w:val="001F061E"/>
    <w:rsid w:val="001F114A"/>
    <w:rsid w:val="001F234A"/>
    <w:rsid w:val="001F378F"/>
    <w:rsid w:val="001F4CCB"/>
    <w:rsid w:val="001F508D"/>
    <w:rsid w:val="00201C43"/>
    <w:rsid w:val="002034B0"/>
    <w:rsid w:val="00206FE5"/>
    <w:rsid w:val="002071D1"/>
    <w:rsid w:val="00211045"/>
    <w:rsid w:val="00212940"/>
    <w:rsid w:val="00212DBB"/>
    <w:rsid w:val="00213DF4"/>
    <w:rsid w:val="0021405A"/>
    <w:rsid w:val="00214607"/>
    <w:rsid w:val="0021517D"/>
    <w:rsid w:val="00215D14"/>
    <w:rsid w:val="00215F67"/>
    <w:rsid w:val="0021709E"/>
    <w:rsid w:val="0021717E"/>
    <w:rsid w:val="00220E81"/>
    <w:rsid w:val="002211B4"/>
    <w:rsid w:val="00221273"/>
    <w:rsid w:val="00224D2C"/>
    <w:rsid w:val="00225A7F"/>
    <w:rsid w:val="00226139"/>
    <w:rsid w:val="00226533"/>
    <w:rsid w:val="00226F94"/>
    <w:rsid w:val="00227261"/>
    <w:rsid w:val="002303AA"/>
    <w:rsid w:val="0023049B"/>
    <w:rsid w:val="00231E30"/>
    <w:rsid w:val="0023247B"/>
    <w:rsid w:val="002331D7"/>
    <w:rsid w:val="00233736"/>
    <w:rsid w:val="00235984"/>
    <w:rsid w:val="002366BC"/>
    <w:rsid w:val="0023777E"/>
    <w:rsid w:val="00237C64"/>
    <w:rsid w:val="002458AE"/>
    <w:rsid w:val="00250634"/>
    <w:rsid w:val="00251FC7"/>
    <w:rsid w:val="002538E8"/>
    <w:rsid w:val="002559F1"/>
    <w:rsid w:val="002571D3"/>
    <w:rsid w:val="002614AE"/>
    <w:rsid w:val="00261CD2"/>
    <w:rsid w:val="00261FD5"/>
    <w:rsid w:val="00263C7E"/>
    <w:rsid w:val="00267089"/>
    <w:rsid w:val="002708B2"/>
    <w:rsid w:val="002722AF"/>
    <w:rsid w:val="002727E1"/>
    <w:rsid w:val="00272F63"/>
    <w:rsid w:val="00277068"/>
    <w:rsid w:val="00277571"/>
    <w:rsid w:val="00277E9A"/>
    <w:rsid w:val="00280170"/>
    <w:rsid w:val="00280C2D"/>
    <w:rsid w:val="00282052"/>
    <w:rsid w:val="00282209"/>
    <w:rsid w:val="002832F8"/>
    <w:rsid w:val="002836EB"/>
    <w:rsid w:val="00285402"/>
    <w:rsid w:val="00290F69"/>
    <w:rsid w:val="00291ABA"/>
    <w:rsid w:val="0029394F"/>
    <w:rsid w:val="002962CB"/>
    <w:rsid w:val="00296548"/>
    <w:rsid w:val="002A0ADE"/>
    <w:rsid w:val="002A3A8C"/>
    <w:rsid w:val="002A43DB"/>
    <w:rsid w:val="002A4F34"/>
    <w:rsid w:val="002A6CF2"/>
    <w:rsid w:val="002A6EAA"/>
    <w:rsid w:val="002A7A88"/>
    <w:rsid w:val="002A7F71"/>
    <w:rsid w:val="002B19E2"/>
    <w:rsid w:val="002B2BB4"/>
    <w:rsid w:val="002B3129"/>
    <w:rsid w:val="002B4207"/>
    <w:rsid w:val="002B437F"/>
    <w:rsid w:val="002B5401"/>
    <w:rsid w:val="002B5C34"/>
    <w:rsid w:val="002B64FE"/>
    <w:rsid w:val="002B650B"/>
    <w:rsid w:val="002B6A3E"/>
    <w:rsid w:val="002C0F1E"/>
    <w:rsid w:val="002C2B09"/>
    <w:rsid w:val="002C2CE4"/>
    <w:rsid w:val="002C4013"/>
    <w:rsid w:val="002C490C"/>
    <w:rsid w:val="002C55F9"/>
    <w:rsid w:val="002C6673"/>
    <w:rsid w:val="002C7F1F"/>
    <w:rsid w:val="002D057D"/>
    <w:rsid w:val="002D08BC"/>
    <w:rsid w:val="002D0CDF"/>
    <w:rsid w:val="002D168B"/>
    <w:rsid w:val="002D2C1D"/>
    <w:rsid w:val="002D3996"/>
    <w:rsid w:val="002D4145"/>
    <w:rsid w:val="002D46E9"/>
    <w:rsid w:val="002D504C"/>
    <w:rsid w:val="002D5127"/>
    <w:rsid w:val="002D6FB2"/>
    <w:rsid w:val="002D73E2"/>
    <w:rsid w:val="002E066A"/>
    <w:rsid w:val="002E0D22"/>
    <w:rsid w:val="002E5ACC"/>
    <w:rsid w:val="002E6CD1"/>
    <w:rsid w:val="002E7C6C"/>
    <w:rsid w:val="002F1E3F"/>
    <w:rsid w:val="002F3D9A"/>
    <w:rsid w:val="002F45CB"/>
    <w:rsid w:val="002F61F6"/>
    <w:rsid w:val="002F734D"/>
    <w:rsid w:val="002F78B2"/>
    <w:rsid w:val="0030030A"/>
    <w:rsid w:val="003038FD"/>
    <w:rsid w:val="0030468A"/>
    <w:rsid w:val="00304DC0"/>
    <w:rsid w:val="003051CF"/>
    <w:rsid w:val="00306A24"/>
    <w:rsid w:val="003074F5"/>
    <w:rsid w:val="00310964"/>
    <w:rsid w:val="00311385"/>
    <w:rsid w:val="0031190F"/>
    <w:rsid w:val="00311AA0"/>
    <w:rsid w:val="003120CF"/>
    <w:rsid w:val="00312931"/>
    <w:rsid w:val="00312A86"/>
    <w:rsid w:val="00312FC6"/>
    <w:rsid w:val="00313F93"/>
    <w:rsid w:val="003156A5"/>
    <w:rsid w:val="00315732"/>
    <w:rsid w:val="00317C8C"/>
    <w:rsid w:val="00323AE7"/>
    <w:rsid w:val="003261FF"/>
    <w:rsid w:val="00326564"/>
    <w:rsid w:val="00327481"/>
    <w:rsid w:val="003275E0"/>
    <w:rsid w:val="0033117A"/>
    <w:rsid w:val="0033299C"/>
    <w:rsid w:val="00335221"/>
    <w:rsid w:val="0033528A"/>
    <w:rsid w:val="00336DFA"/>
    <w:rsid w:val="00336E94"/>
    <w:rsid w:val="00340FED"/>
    <w:rsid w:val="003412BF"/>
    <w:rsid w:val="00342974"/>
    <w:rsid w:val="00343BD9"/>
    <w:rsid w:val="0034447B"/>
    <w:rsid w:val="00344503"/>
    <w:rsid w:val="00345E50"/>
    <w:rsid w:val="003466FB"/>
    <w:rsid w:val="00346AE5"/>
    <w:rsid w:val="0035060C"/>
    <w:rsid w:val="003508ED"/>
    <w:rsid w:val="003516F1"/>
    <w:rsid w:val="00352D66"/>
    <w:rsid w:val="003547FE"/>
    <w:rsid w:val="00354CC9"/>
    <w:rsid w:val="00354F1B"/>
    <w:rsid w:val="003550A1"/>
    <w:rsid w:val="003565F2"/>
    <w:rsid w:val="0035754D"/>
    <w:rsid w:val="00361059"/>
    <w:rsid w:val="003616FF"/>
    <w:rsid w:val="00361B5C"/>
    <w:rsid w:val="003639A6"/>
    <w:rsid w:val="003641D7"/>
    <w:rsid w:val="00365D81"/>
    <w:rsid w:val="0036730C"/>
    <w:rsid w:val="003702D6"/>
    <w:rsid w:val="0037221F"/>
    <w:rsid w:val="0037600A"/>
    <w:rsid w:val="00377546"/>
    <w:rsid w:val="003804EC"/>
    <w:rsid w:val="00380560"/>
    <w:rsid w:val="00381232"/>
    <w:rsid w:val="0038146B"/>
    <w:rsid w:val="003842BC"/>
    <w:rsid w:val="00384D38"/>
    <w:rsid w:val="00385FDE"/>
    <w:rsid w:val="00386594"/>
    <w:rsid w:val="00386951"/>
    <w:rsid w:val="00386FEF"/>
    <w:rsid w:val="00390AEE"/>
    <w:rsid w:val="00396C98"/>
    <w:rsid w:val="003A0E4F"/>
    <w:rsid w:val="003A2F5C"/>
    <w:rsid w:val="003A301F"/>
    <w:rsid w:val="003A3991"/>
    <w:rsid w:val="003A3B44"/>
    <w:rsid w:val="003A4A43"/>
    <w:rsid w:val="003A5698"/>
    <w:rsid w:val="003A6326"/>
    <w:rsid w:val="003A6DCF"/>
    <w:rsid w:val="003A7B5A"/>
    <w:rsid w:val="003B2221"/>
    <w:rsid w:val="003B23A2"/>
    <w:rsid w:val="003B4318"/>
    <w:rsid w:val="003B4790"/>
    <w:rsid w:val="003B47F7"/>
    <w:rsid w:val="003B6F12"/>
    <w:rsid w:val="003B774B"/>
    <w:rsid w:val="003C24B7"/>
    <w:rsid w:val="003C6EA8"/>
    <w:rsid w:val="003C7CA5"/>
    <w:rsid w:val="003D2156"/>
    <w:rsid w:val="003D5C64"/>
    <w:rsid w:val="003D72AE"/>
    <w:rsid w:val="003D746E"/>
    <w:rsid w:val="003D7774"/>
    <w:rsid w:val="003D7D07"/>
    <w:rsid w:val="003E30FE"/>
    <w:rsid w:val="003E3165"/>
    <w:rsid w:val="003E34FD"/>
    <w:rsid w:val="003E4AAE"/>
    <w:rsid w:val="003E4EF1"/>
    <w:rsid w:val="003E6EE8"/>
    <w:rsid w:val="003E7CDF"/>
    <w:rsid w:val="003F025C"/>
    <w:rsid w:val="003F0C72"/>
    <w:rsid w:val="003F1558"/>
    <w:rsid w:val="003F2070"/>
    <w:rsid w:val="003F4962"/>
    <w:rsid w:val="003F65CC"/>
    <w:rsid w:val="003F69EC"/>
    <w:rsid w:val="00400736"/>
    <w:rsid w:val="00400B1C"/>
    <w:rsid w:val="0040309C"/>
    <w:rsid w:val="00403485"/>
    <w:rsid w:val="00405EC1"/>
    <w:rsid w:val="004117AC"/>
    <w:rsid w:val="00411986"/>
    <w:rsid w:val="004152F5"/>
    <w:rsid w:val="00415543"/>
    <w:rsid w:val="00416FC0"/>
    <w:rsid w:val="004179E6"/>
    <w:rsid w:val="004207CA"/>
    <w:rsid w:val="004224AB"/>
    <w:rsid w:val="00422CEF"/>
    <w:rsid w:val="00424469"/>
    <w:rsid w:val="00424A2C"/>
    <w:rsid w:val="004276F4"/>
    <w:rsid w:val="004306DE"/>
    <w:rsid w:val="00431DD9"/>
    <w:rsid w:val="00432244"/>
    <w:rsid w:val="0043239B"/>
    <w:rsid w:val="00434312"/>
    <w:rsid w:val="00435BEC"/>
    <w:rsid w:val="00437A55"/>
    <w:rsid w:val="00437C75"/>
    <w:rsid w:val="00443384"/>
    <w:rsid w:val="004435C4"/>
    <w:rsid w:val="00443FB0"/>
    <w:rsid w:val="004460E1"/>
    <w:rsid w:val="00446583"/>
    <w:rsid w:val="0044787B"/>
    <w:rsid w:val="00451867"/>
    <w:rsid w:val="00453C0B"/>
    <w:rsid w:val="00454DAC"/>
    <w:rsid w:val="00460E51"/>
    <w:rsid w:val="00461168"/>
    <w:rsid w:val="00463084"/>
    <w:rsid w:val="004638FD"/>
    <w:rsid w:val="00463AB1"/>
    <w:rsid w:val="00463F26"/>
    <w:rsid w:val="004643DD"/>
    <w:rsid w:val="00464A77"/>
    <w:rsid w:val="004650F4"/>
    <w:rsid w:val="00465537"/>
    <w:rsid w:val="00467C73"/>
    <w:rsid w:val="0047545F"/>
    <w:rsid w:val="00475702"/>
    <w:rsid w:val="0047626A"/>
    <w:rsid w:val="00480F69"/>
    <w:rsid w:val="00480FBC"/>
    <w:rsid w:val="004811D0"/>
    <w:rsid w:val="00481247"/>
    <w:rsid w:val="00481732"/>
    <w:rsid w:val="004817B1"/>
    <w:rsid w:val="00483CEF"/>
    <w:rsid w:val="00485DD9"/>
    <w:rsid w:val="0048713C"/>
    <w:rsid w:val="00487D92"/>
    <w:rsid w:val="0049122D"/>
    <w:rsid w:val="00491997"/>
    <w:rsid w:val="00493BBA"/>
    <w:rsid w:val="00494C9B"/>
    <w:rsid w:val="004959EA"/>
    <w:rsid w:val="0049624F"/>
    <w:rsid w:val="00496DBA"/>
    <w:rsid w:val="00497822"/>
    <w:rsid w:val="00497831"/>
    <w:rsid w:val="004A0787"/>
    <w:rsid w:val="004A0F4B"/>
    <w:rsid w:val="004A1124"/>
    <w:rsid w:val="004A71C1"/>
    <w:rsid w:val="004B2D61"/>
    <w:rsid w:val="004B3A20"/>
    <w:rsid w:val="004B53A3"/>
    <w:rsid w:val="004B6D38"/>
    <w:rsid w:val="004C042C"/>
    <w:rsid w:val="004C0560"/>
    <w:rsid w:val="004C25ED"/>
    <w:rsid w:val="004C28D6"/>
    <w:rsid w:val="004C29A5"/>
    <w:rsid w:val="004C319B"/>
    <w:rsid w:val="004C3FB2"/>
    <w:rsid w:val="004C4CE7"/>
    <w:rsid w:val="004C5A16"/>
    <w:rsid w:val="004C5C6B"/>
    <w:rsid w:val="004C765F"/>
    <w:rsid w:val="004C7B64"/>
    <w:rsid w:val="004D074C"/>
    <w:rsid w:val="004D09ED"/>
    <w:rsid w:val="004D120C"/>
    <w:rsid w:val="004D187D"/>
    <w:rsid w:val="004D21C6"/>
    <w:rsid w:val="004D2977"/>
    <w:rsid w:val="004D3075"/>
    <w:rsid w:val="004D3228"/>
    <w:rsid w:val="004D4F2E"/>
    <w:rsid w:val="004D5395"/>
    <w:rsid w:val="004D57FA"/>
    <w:rsid w:val="004D5CD8"/>
    <w:rsid w:val="004D6B91"/>
    <w:rsid w:val="004E38A1"/>
    <w:rsid w:val="004E695A"/>
    <w:rsid w:val="004E7FC6"/>
    <w:rsid w:val="004F20A7"/>
    <w:rsid w:val="004F32B9"/>
    <w:rsid w:val="004F454D"/>
    <w:rsid w:val="004F4571"/>
    <w:rsid w:val="004F5C87"/>
    <w:rsid w:val="004F6A1C"/>
    <w:rsid w:val="004F6C5E"/>
    <w:rsid w:val="00500051"/>
    <w:rsid w:val="005018EA"/>
    <w:rsid w:val="00501B59"/>
    <w:rsid w:val="005022F6"/>
    <w:rsid w:val="00502A32"/>
    <w:rsid w:val="00502F33"/>
    <w:rsid w:val="0050329F"/>
    <w:rsid w:val="00506791"/>
    <w:rsid w:val="005079B2"/>
    <w:rsid w:val="00507BCF"/>
    <w:rsid w:val="00507BEE"/>
    <w:rsid w:val="00507DEF"/>
    <w:rsid w:val="005103F5"/>
    <w:rsid w:val="005105BA"/>
    <w:rsid w:val="00512D19"/>
    <w:rsid w:val="00512FF4"/>
    <w:rsid w:val="005133F3"/>
    <w:rsid w:val="0051563A"/>
    <w:rsid w:val="005204E5"/>
    <w:rsid w:val="00520C3C"/>
    <w:rsid w:val="00523EB6"/>
    <w:rsid w:val="00526767"/>
    <w:rsid w:val="00527165"/>
    <w:rsid w:val="005316D3"/>
    <w:rsid w:val="0053214B"/>
    <w:rsid w:val="00534156"/>
    <w:rsid w:val="0053570F"/>
    <w:rsid w:val="00537FBB"/>
    <w:rsid w:val="005403FE"/>
    <w:rsid w:val="00540875"/>
    <w:rsid w:val="005409B8"/>
    <w:rsid w:val="005409E9"/>
    <w:rsid w:val="00550003"/>
    <w:rsid w:val="00550328"/>
    <w:rsid w:val="00553012"/>
    <w:rsid w:val="00553671"/>
    <w:rsid w:val="0055515D"/>
    <w:rsid w:val="005567C0"/>
    <w:rsid w:val="0055747F"/>
    <w:rsid w:val="005574E4"/>
    <w:rsid w:val="0055778E"/>
    <w:rsid w:val="00562239"/>
    <w:rsid w:val="00562A57"/>
    <w:rsid w:val="00564B18"/>
    <w:rsid w:val="005658BF"/>
    <w:rsid w:val="00565EFF"/>
    <w:rsid w:val="005667FE"/>
    <w:rsid w:val="005677BF"/>
    <w:rsid w:val="00572C53"/>
    <w:rsid w:val="00573C34"/>
    <w:rsid w:val="00574DA4"/>
    <w:rsid w:val="00582666"/>
    <w:rsid w:val="00586661"/>
    <w:rsid w:val="00586970"/>
    <w:rsid w:val="00586BE8"/>
    <w:rsid w:val="00586D17"/>
    <w:rsid w:val="00590672"/>
    <w:rsid w:val="0059239B"/>
    <w:rsid w:val="00593CBF"/>
    <w:rsid w:val="00594B18"/>
    <w:rsid w:val="00595CFE"/>
    <w:rsid w:val="005A0389"/>
    <w:rsid w:val="005A03E1"/>
    <w:rsid w:val="005A2195"/>
    <w:rsid w:val="005A3357"/>
    <w:rsid w:val="005A42E8"/>
    <w:rsid w:val="005A7321"/>
    <w:rsid w:val="005B0630"/>
    <w:rsid w:val="005B1135"/>
    <w:rsid w:val="005B2ADF"/>
    <w:rsid w:val="005B43AB"/>
    <w:rsid w:val="005B4440"/>
    <w:rsid w:val="005B47E3"/>
    <w:rsid w:val="005B5ADD"/>
    <w:rsid w:val="005B60F5"/>
    <w:rsid w:val="005B73D4"/>
    <w:rsid w:val="005C26C5"/>
    <w:rsid w:val="005C2B24"/>
    <w:rsid w:val="005C343B"/>
    <w:rsid w:val="005D10A9"/>
    <w:rsid w:val="005D23D9"/>
    <w:rsid w:val="005D6215"/>
    <w:rsid w:val="005D787C"/>
    <w:rsid w:val="005D7994"/>
    <w:rsid w:val="005E0C6A"/>
    <w:rsid w:val="005E5A5D"/>
    <w:rsid w:val="005E71F2"/>
    <w:rsid w:val="005F305D"/>
    <w:rsid w:val="005F33E7"/>
    <w:rsid w:val="005F47DA"/>
    <w:rsid w:val="005F5452"/>
    <w:rsid w:val="005F61CA"/>
    <w:rsid w:val="005F78D2"/>
    <w:rsid w:val="0060101C"/>
    <w:rsid w:val="00603262"/>
    <w:rsid w:val="006068BA"/>
    <w:rsid w:val="00607F6E"/>
    <w:rsid w:val="00612105"/>
    <w:rsid w:val="00612C08"/>
    <w:rsid w:val="006131CA"/>
    <w:rsid w:val="00614CE8"/>
    <w:rsid w:val="00616B1B"/>
    <w:rsid w:val="00616EA6"/>
    <w:rsid w:val="006207DE"/>
    <w:rsid w:val="00621E71"/>
    <w:rsid w:val="006226E0"/>
    <w:rsid w:val="006270CD"/>
    <w:rsid w:val="006272FB"/>
    <w:rsid w:val="00627C22"/>
    <w:rsid w:val="00631B64"/>
    <w:rsid w:val="00633337"/>
    <w:rsid w:val="00633D50"/>
    <w:rsid w:val="00633EDE"/>
    <w:rsid w:val="00634C17"/>
    <w:rsid w:val="00634C9A"/>
    <w:rsid w:val="00637F24"/>
    <w:rsid w:val="00637F86"/>
    <w:rsid w:val="006405F9"/>
    <w:rsid w:val="006407E8"/>
    <w:rsid w:val="006419D6"/>
    <w:rsid w:val="00641D8F"/>
    <w:rsid w:val="00644D00"/>
    <w:rsid w:val="00645243"/>
    <w:rsid w:val="0064624B"/>
    <w:rsid w:val="00646900"/>
    <w:rsid w:val="00646B40"/>
    <w:rsid w:val="006475A1"/>
    <w:rsid w:val="00647D07"/>
    <w:rsid w:val="0065360A"/>
    <w:rsid w:val="006544E5"/>
    <w:rsid w:val="00654912"/>
    <w:rsid w:val="0065523C"/>
    <w:rsid w:val="006552D3"/>
    <w:rsid w:val="00655C71"/>
    <w:rsid w:val="00656266"/>
    <w:rsid w:val="00661672"/>
    <w:rsid w:val="00663BA8"/>
    <w:rsid w:val="00663CD4"/>
    <w:rsid w:val="00664567"/>
    <w:rsid w:val="0067188F"/>
    <w:rsid w:val="0067297E"/>
    <w:rsid w:val="00673091"/>
    <w:rsid w:val="00674192"/>
    <w:rsid w:val="00675F02"/>
    <w:rsid w:val="00676B82"/>
    <w:rsid w:val="00677FBA"/>
    <w:rsid w:val="00683587"/>
    <w:rsid w:val="00685E58"/>
    <w:rsid w:val="006906C7"/>
    <w:rsid w:val="00691683"/>
    <w:rsid w:val="006924C0"/>
    <w:rsid w:val="00692F22"/>
    <w:rsid w:val="00694368"/>
    <w:rsid w:val="006957C8"/>
    <w:rsid w:val="006A0F13"/>
    <w:rsid w:val="006A316A"/>
    <w:rsid w:val="006A5D0B"/>
    <w:rsid w:val="006A7980"/>
    <w:rsid w:val="006B117B"/>
    <w:rsid w:val="006B2A01"/>
    <w:rsid w:val="006B2C1E"/>
    <w:rsid w:val="006B4EC2"/>
    <w:rsid w:val="006B74B4"/>
    <w:rsid w:val="006B7C21"/>
    <w:rsid w:val="006C0B08"/>
    <w:rsid w:val="006C2FAA"/>
    <w:rsid w:val="006C349B"/>
    <w:rsid w:val="006C4610"/>
    <w:rsid w:val="006C4F23"/>
    <w:rsid w:val="006C7237"/>
    <w:rsid w:val="006C792B"/>
    <w:rsid w:val="006D072B"/>
    <w:rsid w:val="006D112B"/>
    <w:rsid w:val="006D2417"/>
    <w:rsid w:val="006D4B9B"/>
    <w:rsid w:val="006D70CD"/>
    <w:rsid w:val="006E1310"/>
    <w:rsid w:val="006E2233"/>
    <w:rsid w:val="006E3E3C"/>
    <w:rsid w:val="006E4EA7"/>
    <w:rsid w:val="006E5BC3"/>
    <w:rsid w:val="006E6597"/>
    <w:rsid w:val="006F1510"/>
    <w:rsid w:val="006F16C6"/>
    <w:rsid w:val="006F3332"/>
    <w:rsid w:val="006F583D"/>
    <w:rsid w:val="006F6F39"/>
    <w:rsid w:val="006F79EA"/>
    <w:rsid w:val="00705DF7"/>
    <w:rsid w:val="00706850"/>
    <w:rsid w:val="00710F44"/>
    <w:rsid w:val="00711904"/>
    <w:rsid w:val="00711FB1"/>
    <w:rsid w:val="00712141"/>
    <w:rsid w:val="00712406"/>
    <w:rsid w:val="0071255F"/>
    <w:rsid w:val="00714789"/>
    <w:rsid w:val="0071677A"/>
    <w:rsid w:val="007167BA"/>
    <w:rsid w:val="007203F8"/>
    <w:rsid w:val="00723078"/>
    <w:rsid w:val="007243C2"/>
    <w:rsid w:val="00724823"/>
    <w:rsid w:val="00725945"/>
    <w:rsid w:val="00726A22"/>
    <w:rsid w:val="00731BAA"/>
    <w:rsid w:val="00731E83"/>
    <w:rsid w:val="00732783"/>
    <w:rsid w:val="00733BB2"/>
    <w:rsid w:val="0073624B"/>
    <w:rsid w:val="00737D87"/>
    <w:rsid w:val="00741F03"/>
    <w:rsid w:val="0074232B"/>
    <w:rsid w:val="00745CDC"/>
    <w:rsid w:val="007465D9"/>
    <w:rsid w:val="00750CDB"/>
    <w:rsid w:val="00756E39"/>
    <w:rsid w:val="00756F3B"/>
    <w:rsid w:val="00757FBA"/>
    <w:rsid w:val="007603F9"/>
    <w:rsid w:val="00761D35"/>
    <w:rsid w:val="00765035"/>
    <w:rsid w:val="0077034F"/>
    <w:rsid w:val="00770EDE"/>
    <w:rsid w:val="00771629"/>
    <w:rsid w:val="007745BB"/>
    <w:rsid w:val="00775960"/>
    <w:rsid w:val="007774B6"/>
    <w:rsid w:val="0077785C"/>
    <w:rsid w:val="00777AFE"/>
    <w:rsid w:val="007807A9"/>
    <w:rsid w:val="0078169A"/>
    <w:rsid w:val="00783292"/>
    <w:rsid w:val="007858F1"/>
    <w:rsid w:val="007863C3"/>
    <w:rsid w:val="007901B2"/>
    <w:rsid w:val="00790767"/>
    <w:rsid w:val="00793C2D"/>
    <w:rsid w:val="00793CD0"/>
    <w:rsid w:val="00794B06"/>
    <w:rsid w:val="00796CB0"/>
    <w:rsid w:val="007A45E4"/>
    <w:rsid w:val="007A4F02"/>
    <w:rsid w:val="007A4F6D"/>
    <w:rsid w:val="007A55B3"/>
    <w:rsid w:val="007A6961"/>
    <w:rsid w:val="007B1F51"/>
    <w:rsid w:val="007B3E21"/>
    <w:rsid w:val="007B6EF3"/>
    <w:rsid w:val="007B7056"/>
    <w:rsid w:val="007C299A"/>
    <w:rsid w:val="007C3C4A"/>
    <w:rsid w:val="007C46A1"/>
    <w:rsid w:val="007C59B1"/>
    <w:rsid w:val="007C5BF8"/>
    <w:rsid w:val="007C6573"/>
    <w:rsid w:val="007C6FBA"/>
    <w:rsid w:val="007C74AF"/>
    <w:rsid w:val="007C7AF7"/>
    <w:rsid w:val="007D293F"/>
    <w:rsid w:val="007D45A5"/>
    <w:rsid w:val="007D4D5C"/>
    <w:rsid w:val="007D4E09"/>
    <w:rsid w:val="007D723A"/>
    <w:rsid w:val="007E0EA1"/>
    <w:rsid w:val="007E1DE6"/>
    <w:rsid w:val="007E3642"/>
    <w:rsid w:val="007E468F"/>
    <w:rsid w:val="007E4B59"/>
    <w:rsid w:val="007E60BD"/>
    <w:rsid w:val="007E60BF"/>
    <w:rsid w:val="007E7261"/>
    <w:rsid w:val="007E75FD"/>
    <w:rsid w:val="007F0197"/>
    <w:rsid w:val="007F1083"/>
    <w:rsid w:val="007F35D5"/>
    <w:rsid w:val="007F3681"/>
    <w:rsid w:val="007F5C24"/>
    <w:rsid w:val="007F6446"/>
    <w:rsid w:val="007F7397"/>
    <w:rsid w:val="007F76A9"/>
    <w:rsid w:val="007F793C"/>
    <w:rsid w:val="007F7C30"/>
    <w:rsid w:val="00800EC3"/>
    <w:rsid w:val="008018BE"/>
    <w:rsid w:val="00802C2A"/>
    <w:rsid w:val="0080358E"/>
    <w:rsid w:val="00812208"/>
    <w:rsid w:val="00812A3C"/>
    <w:rsid w:val="00813084"/>
    <w:rsid w:val="00813B45"/>
    <w:rsid w:val="00813BC4"/>
    <w:rsid w:val="00814B6F"/>
    <w:rsid w:val="00822071"/>
    <w:rsid w:val="00822601"/>
    <w:rsid w:val="00822EE1"/>
    <w:rsid w:val="00824576"/>
    <w:rsid w:val="0082593C"/>
    <w:rsid w:val="00830D5F"/>
    <w:rsid w:val="00831744"/>
    <w:rsid w:val="00831C35"/>
    <w:rsid w:val="0083505D"/>
    <w:rsid w:val="00837AF3"/>
    <w:rsid w:val="0084071A"/>
    <w:rsid w:val="0084296F"/>
    <w:rsid w:val="00842A31"/>
    <w:rsid w:val="00842BAA"/>
    <w:rsid w:val="00843910"/>
    <w:rsid w:val="0084522E"/>
    <w:rsid w:val="0084632D"/>
    <w:rsid w:val="0084660D"/>
    <w:rsid w:val="0084685C"/>
    <w:rsid w:val="008509BA"/>
    <w:rsid w:val="00850BB4"/>
    <w:rsid w:val="008543A2"/>
    <w:rsid w:val="00854644"/>
    <w:rsid w:val="00855CBB"/>
    <w:rsid w:val="00855E73"/>
    <w:rsid w:val="00855F3B"/>
    <w:rsid w:val="008570C3"/>
    <w:rsid w:val="00860BDB"/>
    <w:rsid w:val="0086285B"/>
    <w:rsid w:val="0086301D"/>
    <w:rsid w:val="00863306"/>
    <w:rsid w:val="0086361F"/>
    <w:rsid w:val="00863984"/>
    <w:rsid w:val="00863D14"/>
    <w:rsid w:val="008700B4"/>
    <w:rsid w:val="008714C6"/>
    <w:rsid w:val="0087721D"/>
    <w:rsid w:val="00877E9C"/>
    <w:rsid w:val="00880005"/>
    <w:rsid w:val="00882652"/>
    <w:rsid w:val="00882BCF"/>
    <w:rsid w:val="00883696"/>
    <w:rsid w:val="00884933"/>
    <w:rsid w:val="0088564F"/>
    <w:rsid w:val="008860FE"/>
    <w:rsid w:val="008877AA"/>
    <w:rsid w:val="00892051"/>
    <w:rsid w:val="0089287E"/>
    <w:rsid w:val="00893257"/>
    <w:rsid w:val="00893B9F"/>
    <w:rsid w:val="00894FD5"/>
    <w:rsid w:val="008950A9"/>
    <w:rsid w:val="00897040"/>
    <w:rsid w:val="0089732E"/>
    <w:rsid w:val="008978E5"/>
    <w:rsid w:val="008A2E2D"/>
    <w:rsid w:val="008A39B0"/>
    <w:rsid w:val="008A4DCE"/>
    <w:rsid w:val="008A4F60"/>
    <w:rsid w:val="008A5B06"/>
    <w:rsid w:val="008A6E79"/>
    <w:rsid w:val="008B08FE"/>
    <w:rsid w:val="008B1C4A"/>
    <w:rsid w:val="008B2160"/>
    <w:rsid w:val="008B3561"/>
    <w:rsid w:val="008B3EAA"/>
    <w:rsid w:val="008B4C2E"/>
    <w:rsid w:val="008B4F76"/>
    <w:rsid w:val="008C0551"/>
    <w:rsid w:val="008C332D"/>
    <w:rsid w:val="008D0BE7"/>
    <w:rsid w:val="008D160F"/>
    <w:rsid w:val="008D1BFE"/>
    <w:rsid w:val="008D3008"/>
    <w:rsid w:val="008D468C"/>
    <w:rsid w:val="008D4DFC"/>
    <w:rsid w:val="008D6BDA"/>
    <w:rsid w:val="008E42BF"/>
    <w:rsid w:val="008E47AF"/>
    <w:rsid w:val="008E5D28"/>
    <w:rsid w:val="008E640F"/>
    <w:rsid w:val="008E6D5D"/>
    <w:rsid w:val="008F165C"/>
    <w:rsid w:val="008F1791"/>
    <w:rsid w:val="008F186F"/>
    <w:rsid w:val="008F251F"/>
    <w:rsid w:val="008F277E"/>
    <w:rsid w:val="008F30E8"/>
    <w:rsid w:val="008F4BF4"/>
    <w:rsid w:val="008F62C5"/>
    <w:rsid w:val="009000FD"/>
    <w:rsid w:val="00903C28"/>
    <w:rsid w:val="009065FD"/>
    <w:rsid w:val="00907448"/>
    <w:rsid w:val="00910D89"/>
    <w:rsid w:val="009123B4"/>
    <w:rsid w:val="009123D6"/>
    <w:rsid w:val="00912708"/>
    <w:rsid w:val="00913AA8"/>
    <w:rsid w:val="009144BF"/>
    <w:rsid w:val="00920D42"/>
    <w:rsid w:val="00922B98"/>
    <w:rsid w:val="009233C0"/>
    <w:rsid w:val="00925FF5"/>
    <w:rsid w:val="00926C10"/>
    <w:rsid w:val="00927108"/>
    <w:rsid w:val="00927DB9"/>
    <w:rsid w:val="009303F9"/>
    <w:rsid w:val="00930AD7"/>
    <w:rsid w:val="00932ACD"/>
    <w:rsid w:val="00934281"/>
    <w:rsid w:val="00934F0D"/>
    <w:rsid w:val="009358F8"/>
    <w:rsid w:val="009363A6"/>
    <w:rsid w:val="0093727C"/>
    <w:rsid w:val="0093763D"/>
    <w:rsid w:val="009376A5"/>
    <w:rsid w:val="009402B4"/>
    <w:rsid w:val="00940436"/>
    <w:rsid w:val="0094061C"/>
    <w:rsid w:val="009421EA"/>
    <w:rsid w:val="00947E61"/>
    <w:rsid w:val="00952585"/>
    <w:rsid w:val="0095356D"/>
    <w:rsid w:val="00954438"/>
    <w:rsid w:val="009547F9"/>
    <w:rsid w:val="00954FE8"/>
    <w:rsid w:val="009567CD"/>
    <w:rsid w:val="00957134"/>
    <w:rsid w:val="00957B49"/>
    <w:rsid w:val="00957ED9"/>
    <w:rsid w:val="009602BF"/>
    <w:rsid w:val="009608BB"/>
    <w:rsid w:val="00961F66"/>
    <w:rsid w:val="00962B0E"/>
    <w:rsid w:val="009631F4"/>
    <w:rsid w:val="00963499"/>
    <w:rsid w:val="00966126"/>
    <w:rsid w:val="009718E6"/>
    <w:rsid w:val="0097336D"/>
    <w:rsid w:val="00976BD7"/>
    <w:rsid w:val="0097713E"/>
    <w:rsid w:val="009840B8"/>
    <w:rsid w:val="0098430A"/>
    <w:rsid w:val="009848A5"/>
    <w:rsid w:val="009851B6"/>
    <w:rsid w:val="0098528F"/>
    <w:rsid w:val="00985AA8"/>
    <w:rsid w:val="00986AA8"/>
    <w:rsid w:val="009875B3"/>
    <w:rsid w:val="0099113D"/>
    <w:rsid w:val="009913A2"/>
    <w:rsid w:val="009919F3"/>
    <w:rsid w:val="009921FC"/>
    <w:rsid w:val="009939D3"/>
    <w:rsid w:val="00994406"/>
    <w:rsid w:val="00994551"/>
    <w:rsid w:val="0099464A"/>
    <w:rsid w:val="009954D9"/>
    <w:rsid w:val="009A044B"/>
    <w:rsid w:val="009A1CDE"/>
    <w:rsid w:val="009A23FF"/>
    <w:rsid w:val="009A275F"/>
    <w:rsid w:val="009A3DEF"/>
    <w:rsid w:val="009A415B"/>
    <w:rsid w:val="009A4A2C"/>
    <w:rsid w:val="009A4B7A"/>
    <w:rsid w:val="009A512F"/>
    <w:rsid w:val="009A67E8"/>
    <w:rsid w:val="009A6B15"/>
    <w:rsid w:val="009A7191"/>
    <w:rsid w:val="009A7A4B"/>
    <w:rsid w:val="009B05D9"/>
    <w:rsid w:val="009B0E02"/>
    <w:rsid w:val="009B2949"/>
    <w:rsid w:val="009B4837"/>
    <w:rsid w:val="009C23BC"/>
    <w:rsid w:val="009C30B4"/>
    <w:rsid w:val="009C455D"/>
    <w:rsid w:val="009C4D7C"/>
    <w:rsid w:val="009C58D4"/>
    <w:rsid w:val="009C77EE"/>
    <w:rsid w:val="009D0819"/>
    <w:rsid w:val="009D157E"/>
    <w:rsid w:val="009D17F4"/>
    <w:rsid w:val="009D1A57"/>
    <w:rsid w:val="009D2A39"/>
    <w:rsid w:val="009D5236"/>
    <w:rsid w:val="009D79DC"/>
    <w:rsid w:val="009E03D0"/>
    <w:rsid w:val="009E2869"/>
    <w:rsid w:val="009E2BA6"/>
    <w:rsid w:val="009E2C5C"/>
    <w:rsid w:val="009E31AF"/>
    <w:rsid w:val="009E41B1"/>
    <w:rsid w:val="009E5F82"/>
    <w:rsid w:val="009F1AF5"/>
    <w:rsid w:val="009F2300"/>
    <w:rsid w:val="009F2F34"/>
    <w:rsid w:val="009F304E"/>
    <w:rsid w:val="009F341A"/>
    <w:rsid w:val="009F5C1F"/>
    <w:rsid w:val="009F660A"/>
    <w:rsid w:val="009F6B76"/>
    <w:rsid w:val="00A02865"/>
    <w:rsid w:val="00A03A45"/>
    <w:rsid w:val="00A04121"/>
    <w:rsid w:val="00A04D30"/>
    <w:rsid w:val="00A052DC"/>
    <w:rsid w:val="00A05598"/>
    <w:rsid w:val="00A06064"/>
    <w:rsid w:val="00A077D5"/>
    <w:rsid w:val="00A14129"/>
    <w:rsid w:val="00A15414"/>
    <w:rsid w:val="00A15864"/>
    <w:rsid w:val="00A167D6"/>
    <w:rsid w:val="00A167F0"/>
    <w:rsid w:val="00A16DE6"/>
    <w:rsid w:val="00A174FA"/>
    <w:rsid w:val="00A24016"/>
    <w:rsid w:val="00A243A8"/>
    <w:rsid w:val="00A26BA8"/>
    <w:rsid w:val="00A330AA"/>
    <w:rsid w:val="00A35F17"/>
    <w:rsid w:val="00A37418"/>
    <w:rsid w:val="00A37FAB"/>
    <w:rsid w:val="00A411DE"/>
    <w:rsid w:val="00A413D8"/>
    <w:rsid w:val="00A42ACA"/>
    <w:rsid w:val="00A456FD"/>
    <w:rsid w:val="00A469FA"/>
    <w:rsid w:val="00A4796B"/>
    <w:rsid w:val="00A47F54"/>
    <w:rsid w:val="00A52212"/>
    <w:rsid w:val="00A524CA"/>
    <w:rsid w:val="00A536D0"/>
    <w:rsid w:val="00A54B00"/>
    <w:rsid w:val="00A55DD5"/>
    <w:rsid w:val="00A60584"/>
    <w:rsid w:val="00A61578"/>
    <w:rsid w:val="00A61BB9"/>
    <w:rsid w:val="00A631A5"/>
    <w:rsid w:val="00A65442"/>
    <w:rsid w:val="00A7107C"/>
    <w:rsid w:val="00A72382"/>
    <w:rsid w:val="00A73F79"/>
    <w:rsid w:val="00A7439F"/>
    <w:rsid w:val="00A74B37"/>
    <w:rsid w:val="00A74C4C"/>
    <w:rsid w:val="00A76A14"/>
    <w:rsid w:val="00A76A52"/>
    <w:rsid w:val="00A76B1A"/>
    <w:rsid w:val="00A76B4E"/>
    <w:rsid w:val="00A77769"/>
    <w:rsid w:val="00A777B5"/>
    <w:rsid w:val="00A77D52"/>
    <w:rsid w:val="00A80936"/>
    <w:rsid w:val="00A83585"/>
    <w:rsid w:val="00A87CDB"/>
    <w:rsid w:val="00A934A0"/>
    <w:rsid w:val="00A93954"/>
    <w:rsid w:val="00A95362"/>
    <w:rsid w:val="00A95D21"/>
    <w:rsid w:val="00A96CBB"/>
    <w:rsid w:val="00AA074F"/>
    <w:rsid w:val="00AA0C66"/>
    <w:rsid w:val="00AA28B8"/>
    <w:rsid w:val="00AA3FA3"/>
    <w:rsid w:val="00AA4724"/>
    <w:rsid w:val="00AA592B"/>
    <w:rsid w:val="00AA6C56"/>
    <w:rsid w:val="00AA7562"/>
    <w:rsid w:val="00AB107B"/>
    <w:rsid w:val="00AB1206"/>
    <w:rsid w:val="00AB153E"/>
    <w:rsid w:val="00AB1852"/>
    <w:rsid w:val="00AB2126"/>
    <w:rsid w:val="00AB2857"/>
    <w:rsid w:val="00AB359E"/>
    <w:rsid w:val="00AC02FD"/>
    <w:rsid w:val="00AC0B61"/>
    <w:rsid w:val="00AC1935"/>
    <w:rsid w:val="00AC4CFD"/>
    <w:rsid w:val="00AC692A"/>
    <w:rsid w:val="00AD1899"/>
    <w:rsid w:val="00AD19F5"/>
    <w:rsid w:val="00AD4BB6"/>
    <w:rsid w:val="00AD4F25"/>
    <w:rsid w:val="00AD709C"/>
    <w:rsid w:val="00AE2367"/>
    <w:rsid w:val="00AE2670"/>
    <w:rsid w:val="00AE4085"/>
    <w:rsid w:val="00AE427F"/>
    <w:rsid w:val="00AE4D54"/>
    <w:rsid w:val="00AE6063"/>
    <w:rsid w:val="00AE60C5"/>
    <w:rsid w:val="00AE6E8C"/>
    <w:rsid w:val="00AE7BD9"/>
    <w:rsid w:val="00AF0BEF"/>
    <w:rsid w:val="00AF245C"/>
    <w:rsid w:val="00AF3413"/>
    <w:rsid w:val="00AF36A2"/>
    <w:rsid w:val="00AF3F8E"/>
    <w:rsid w:val="00AF42F9"/>
    <w:rsid w:val="00AF549F"/>
    <w:rsid w:val="00AF6572"/>
    <w:rsid w:val="00AF6AC7"/>
    <w:rsid w:val="00AF7AF8"/>
    <w:rsid w:val="00AF7BAF"/>
    <w:rsid w:val="00B02861"/>
    <w:rsid w:val="00B0504A"/>
    <w:rsid w:val="00B077A7"/>
    <w:rsid w:val="00B07A56"/>
    <w:rsid w:val="00B07E7B"/>
    <w:rsid w:val="00B101B1"/>
    <w:rsid w:val="00B1157D"/>
    <w:rsid w:val="00B13620"/>
    <w:rsid w:val="00B13C33"/>
    <w:rsid w:val="00B16CA2"/>
    <w:rsid w:val="00B20E6E"/>
    <w:rsid w:val="00B23452"/>
    <w:rsid w:val="00B2621B"/>
    <w:rsid w:val="00B26BFD"/>
    <w:rsid w:val="00B27D6B"/>
    <w:rsid w:val="00B30542"/>
    <w:rsid w:val="00B3094D"/>
    <w:rsid w:val="00B31B67"/>
    <w:rsid w:val="00B449D7"/>
    <w:rsid w:val="00B453DC"/>
    <w:rsid w:val="00B506EB"/>
    <w:rsid w:val="00B507A2"/>
    <w:rsid w:val="00B529DD"/>
    <w:rsid w:val="00B5311E"/>
    <w:rsid w:val="00B53302"/>
    <w:rsid w:val="00B535CB"/>
    <w:rsid w:val="00B541C4"/>
    <w:rsid w:val="00B547B0"/>
    <w:rsid w:val="00B553D9"/>
    <w:rsid w:val="00B572DF"/>
    <w:rsid w:val="00B5746D"/>
    <w:rsid w:val="00B57E76"/>
    <w:rsid w:val="00B612C7"/>
    <w:rsid w:val="00B6143D"/>
    <w:rsid w:val="00B61C8F"/>
    <w:rsid w:val="00B62ED3"/>
    <w:rsid w:val="00B64D2C"/>
    <w:rsid w:val="00B64FD1"/>
    <w:rsid w:val="00B7098A"/>
    <w:rsid w:val="00B70A70"/>
    <w:rsid w:val="00B712C8"/>
    <w:rsid w:val="00B72389"/>
    <w:rsid w:val="00B7244C"/>
    <w:rsid w:val="00B73E21"/>
    <w:rsid w:val="00B73E7F"/>
    <w:rsid w:val="00B761E7"/>
    <w:rsid w:val="00B76FFF"/>
    <w:rsid w:val="00B80082"/>
    <w:rsid w:val="00B80FC8"/>
    <w:rsid w:val="00B8132C"/>
    <w:rsid w:val="00B83328"/>
    <w:rsid w:val="00B83777"/>
    <w:rsid w:val="00B84C64"/>
    <w:rsid w:val="00B85D32"/>
    <w:rsid w:val="00B907A0"/>
    <w:rsid w:val="00B915D0"/>
    <w:rsid w:val="00B9634B"/>
    <w:rsid w:val="00B96545"/>
    <w:rsid w:val="00BA04FE"/>
    <w:rsid w:val="00BA121A"/>
    <w:rsid w:val="00BA1723"/>
    <w:rsid w:val="00BA2507"/>
    <w:rsid w:val="00BA25B1"/>
    <w:rsid w:val="00BA360C"/>
    <w:rsid w:val="00BA3BAE"/>
    <w:rsid w:val="00BA6FE8"/>
    <w:rsid w:val="00BA7BDD"/>
    <w:rsid w:val="00BA7F94"/>
    <w:rsid w:val="00BB0854"/>
    <w:rsid w:val="00BB1B69"/>
    <w:rsid w:val="00BB4E6F"/>
    <w:rsid w:val="00BB52C0"/>
    <w:rsid w:val="00BB582A"/>
    <w:rsid w:val="00BB5A4F"/>
    <w:rsid w:val="00BB5B98"/>
    <w:rsid w:val="00BB6891"/>
    <w:rsid w:val="00BB706D"/>
    <w:rsid w:val="00BB7332"/>
    <w:rsid w:val="00BB75F6"/>
    <w:rsid w:val="00BC0264"/>
    <w:rsid w:val="00BC5913"/>
    <w:rsid w:val="00BC7A04"/>
    <w:rsid w:val="00BD03CC"/>
    <w:rsid w:val="00BD03E8"/>
    <w:rsid w:val="00BD1F20"/>
    <w:rsid w:val="00BD2DA2"/>
    <w:rsid w:val="00BD5A58"/>
    <w:rsid w:val="00BE0154"/>
    <w:rsid w:val="00BE046B"/>
    <w:rsid w:val="00BE0868"/>
    <w:rsid w:val="00BE4B82"/>
    <w:rsid w:val="00BE57DD"/>
    <w:rsid w:val="00BE66F7"/>
    <w:rsid w:val="00BF0952"/>
    <w:rsid w:val="00BF1CBD"/>
    <w:rsid w:val="00BF1FF9"/>
    <w:rsid w:val="00BF3305"/>
    <w:rsid w:val="00BF3BD6"/>
    <w:rsid w:val="00BF41A7"/>
    <w:rsid w:val="00BF700B"/>
    <w:rsid w:val="00BF769F"/>
    <w:rsid w:val="00BF7F31"/>
    <w:rsid w:val="00BF7FC8"/>
    <w:rsid w:val="00C042EA"/>
    <w:rsid w:val="00C14EDA"/>
    <w:rsid w:val="00C14FF4"/>
    <w:rsid w:val="00C15504"/>
    <w:rsid w:val="00C158A6"/>
    <w:rsid w:val="00C168AB"/>
    <w:rsid w:val="00C17212"/>
    <w:rsid w:val="00C1773C"/>
    <w:rsid w:val="00C22EB3"/>
    <w:rsid w:val="00C2377C"/>
    <w:rsid w:val="00C23E20"/>
    <w:rsid w:val="00C25CD5"/>
    <w:rsid w:val="00C26C8C"/>
    <w:rsid w:val="00C27382"/>
    <w:rsid w:val="00C2776A"/>
    <w:rsid w:val="00C30B88"/>
    <w:rsid w:val="00C32D9C"/>
    <w:rsid w:val="00C36DE2"/>
    <w:rsid w:val="00C4031F"/>
    <w:rsid w:val="00C427FC"/>
    <w:rsid w:val="00C439D0"/>
    <w:rsid w:val="00C43FEF"/>
    <w:rsid w:val="00C47A38"/>
    <w:rsid w:val="00C47DEE"/>
    <w:rsid w:val="00C51726"/>
    <w:rsid w:val="00C51B78"/>
    <w:rsid w:val="00C51C68"/>
    <w:rsid w:val="00C548FE"/>
    <w:rsid w:val="00C558B3"/>
    <w:rsid w:val="00C5751E"/>
    <w:rsid w:val="00C60A19"/>
    <w:rsid w:val="00C62360"/>
    <w:rsid w:val="00C62899"/>
    <w:rsid w:val="00C63490"/>
    <w:rsid w:val="00C64D31"/>
    <w:rsid w:val="00C65957"/>
    <w:rsid w:val="00C661D8"/>
    <w:rsid w:val="00C667AA"/>
    <w:rsid w:val="00C70DCD"/>
    <w:rsid w:val="00C714FD"/>
    <w:rsid w:val="00C754F2"/>
    <w:rsid w:val="00C756A1"/>
    <w:rsid w:val="00C760B0"/>
    <w:rsid w:val="00C76400"/>
    <w:rsid w:val="00C76E1D"/>
    <w:rsid w:val="00C803F4"/>
    <w:rsid w:val="00C82F24"/>
    <w:rsid w:val="00C84FE0"/>
    <w:rsid w:val="00C85BB1"/>
    <w:rsid w:val="00C9091A"/>
    <w:rsid w:val="00C91B93"/>
    <w:rsid w:val="00C93A78"/>
    <w:rsid w:val="00C9557A"/>
    <w:rsid w:val="00C95A67"/>
    <w:rsid w:val="00C96584"/>
    <w:rsid w:val="00CA25DF"/>
    <w:rsid w:val="00CA26CB"/>
    <w:rsid w:val="00CA2F4A"/>
    <w:rsid w:val="00CA40E1"/>
    <w:rsid w:val="00CA52E5"/>
    <w:rsid w:val="00CA5C0A"/>
    <w:rsid w:val="00CB0DAC"/>
    <w:rsid w:val="00CB2F10"/>
    <w:rsid w:val="00CB37F5"/>
    <w:rsid w:val="00CB403E"/>
    <w:rsid w:val="00CB6B6D"/>
    <w:rsid w:val="00CB6FE2"/>
    <w:rsid w:val="00CC0065"/>
    <w:rsid w:val="00CC075B"/>
    <w:rsid w:val="00CC3271"/>
    <w:rsid w:val="00CC3AFC"/>
    <w:rsid w:val="00CC3EF5"/>
    <w:rsid w:val="00CC492A"/>
    <w:rsid w:val="00CC4A96"/>
    <w:rsid w:val="00CC4CBA"/>
    <w:rsid w:val="00CC58DE"/>
    <w:rsid w:val="00CC62D6"/>
    <w:rsid w:val="00CC7FFE"/>
    <w:rsid w:val="00CD090D"/>
    <w:rsid w:val="00CD29C5"/>
    <w:rsid w:val="00CD3E40"/>
    <w:rsid w:val="00CD607D"/>
    <w:rsid w:val="00CD6357"/>
    <w:rsid w:val="00CD6B13"/>
    <w:rsid w:val="00CE1835"/>
    <w:rsid w:val="00CE2A93"/>
    <w:rsid w:val="00CE4C9F"/>
    <w:rsid w:val="00CE4FE7"/>
    <w:rsid w:val="00CE550C"/>
    <w:rsid w:val="00CE57C6"/>
    <w:rsid w:val="00CE5C3C"/>
    <w:rsid w:val="00CE5F76"/>
    <w:rsid w:val="00CE7005"/>
    <w:rsid w:val="00CF020E"/>
    <w:rsid w:val="00CF0B2F"/>
    <w:rsid w:val="00CF14AF"/>
    <w:rsid w:val="00CF4756"/>
    <w:rsid w:val="00CF57B0"/>
    <w:rsid w:val="00CF6247"/>
    <w:rsid w:val="00CF6250"/>
    <w:rsid w:val="00D00DCD"/>
    <w:rsid w:val="00D01360"/>
    <w:rsid w:val="00D023DE"/>
    <w:rsid w:val="00D02C80"/>
    <w:rsid w:val="00D0516C"/>
    <w:rsid w:val="00D077A4"/>
    <w:rsid w:val="00D10D6F"/>
    <w:rsid w:val="00D1113A"/>
    <w:rsid w:val="00D12ED0"/>
    <w:rsid w:val="00D130B7"/>
    <w:rsid w:val="00D1330E"/>
    <w:rsid w:val="00D13456"/>
    <w:rsid w:val="00D14D09"/>
    <w:rsid w:val="00D14DFB"/>
    <w:rsid w:val="00D17799"/>
    <w:rsid w:val="00D235ED"/>
    <w:rsid w:val="00D24287"/>
    <w:rsid w:val="00D242B2"/>
    <w:rsid w:val="00D24D05"/>
    <w:rsid w:val="00D26115"/>
    <w:rsid w:val="00D27132"/>
    <w:rsid w:val="00D3245C"/>
    <w:rsid w:val="00D3453B"/>
    <w:rsid w:val="00D34BEA"/>
    <w:rsid w:val="00D36A35"/>
    <w:rsid w:val="00D40317"/>
    <w:rsid w:val="00D40D24"/>
    <w:rsid w:val="00D4169A"/>
    <w:rsid w:val="00D43285"/>
    <w:rsid w:val="00D44155"/>
    <w:rsid w:val="00D4430D"/>
    <w:rsid w:val="00D44446"/>
    <w:rsid w:val="00D470A1"/>
    <w:rsid w:val="00D5320E"/>
    <w:rsid w:val="00D53B58"/>
    <w:rsid w:val="00D54071"/>
    <w:rsid w:val="00D5547D"/>
    <w:rsid w:val="00D56D77"/>
    <w:rsid w:val="00D572C3"/>
    <w:rsid w:val="00D576AD"/>
    <w:rsid w:val="00D577EC"/>
    <w:rsid w:val="00D57BC4"/>
    <w:rsid w:val="00D61786"/>
    <w:rsid w:val="00D62735"/>
    <w:rsid w:val="00D64A3E"/>
    <w:rsid w:val="00D64D43"/>
    <w:rsid w:val="00D65A80"/>
    <w:rsid w:val="00D65B81"/>
    <w:rsid w:val="00D65F99"/>
    <w:rsid w:val="00D67312"/>
    <w:rsid w:val="00D705BF"/>
    <w:rsid w:val="00D72808"/>
    <w:rsid w:val="00D734B1"/>
    <w:rsid w:val="00D739ED"/>
    <w:rsid w:val="00D73BAE"/>
    <w:rsid w:val="00D73E44"/>
    <w:rsid w:val="00D746D4"/>
    <w:rsid w:val="00D75138"/>
    <w:rsid w:val="00D7529D"/>
    <w:rsid w:val="00D76F0D"/>
    <w:rsid w:val="00D806CA"/>
    <w:rsid w:val="00D85A5E"/>
    <w:rsid w:val="00D863D9"/>
    <w:rsid w:val="00D865B5"/>
    <w:rsid w:val="00D86B08"/>
    <w:rsid w:val="00D87CB3"/>
    <w:rsid w:val="00D9009B"/>
    <w:rsid w:val="00D90144"/>
    <w:rsid w:val="00D9026F"/>
    <w:rsid w:val="00D909FC"/>
    <w:rsid w:val="00D92BDE"/>
    <w:rsid w:val="00D936E7"/>
    <w:rsid w:val="00D93A2D"/>
    <w:rsid w:val="00D951B3"/>
    <w:rsid w:val="00D951C6"/>
    <w:rsid w:val="00D953E5"/>
    <w:rsid w:val="00D97391"/>
    <w:rsid w:val="00DA0052"/>
    <w:rsid w:val="00DA03A9"/>
    <w:rsid w:val="00DA1C66"/>
    <w:rsid w:val="00DA2269"/>
    <w:rsid w:val="00DA2923"/>
    <w:rsid w:val="00DA2D03"/>
    <w:rsid w:val="00DA2ECC"/>
    <w:rsid w:val="00DA3566"/>
    <w:rsid w:val="00DA51DA"/>
    <w:rsid w:val="00DA6359"/>
    <w:rsid w:val="00DA79C9"/>
    <w:rsid w:val="00DA7D46"/>
    <w:rsid w:val="00DB00B8"/>
    <w:rsid w:val="00DB22D6"/>
    <w:rsid w:val="00DB2959"/>
    <w:rsid w:val="00DB342B"/>
    <w:rsid w:val="00DB3C4E"/>
    <w:rsid w:val="00DB43C2"/>
    <w:rsid w:val="00DB6060"/>
    <w:rsid w:val="00DB6ADF"/>
    <w:rsid w:val="00DC2455"/>
    <w:rsid w:val="00DC3545"/>
    <w:rsid w:val="00DC3B98"/>
    <w:rsid w:val="00DC3FCB"/>
    <w:rsid w:val="00DC41C8"/>
    <w:rsid w:val="00DC5238"/>
    <w:rsid w:val="00DC58B3"/>
    <w:rsid w:val="00DC6992"/>
    <w:rsid w:val="00DD310B"/>
    <w:rsid w:val="00DD374C"/>
    <w:rsid w:val="00DD4526"/>
    <w:rsid w:val="00DD46BC"/>
    <w:rsid w:val="00DE0ABF"/>
    <w:rsid w:val="00DE2D41"/>
    <w:rsid w:val="00DE3E7B"/>
    <w:rsid w:val="00DE454A"/>
    <w:rsid w:val="00DE4B42"/>
    <w:rsid w:val="00DE5305"/>
    <w:rsid w:val="00DE6BD8"/>
    <w:rsid w:val="00DE6CBD"/>
    <w:rsid w:val="00DF2318"/>
    <w:rsid w:val="00DF2970"/>
    <w:rsid w:val="00DF3B9F"/>
    <w:rsid w:val="00DF5765"/>
    <w:rsid w:val="00DF5FDC"/>
    <w:rsid w:val="00DF62D4"/>
    <w:rsid w:val="00DF776D"/>
    <w:rsid w:val="00E00A02"/>
    <w:rsid w:val="00E0495F"/>
    <w:rsid w:val="00E05033"/>
    <w:rsid w:val="00E05899"/>
    <w:rsid w:val="00E05C33"/>
    <w:rsid w:val="00E07D2E"/>
    <w:rsid w:val="00E10042"/>
    <w:rsid w:val="00E13035"/>
    <w:rsid w:val="00E15886"/>
    <w:rsid w:val="00E21664"/>
    <w:rsid w:val="00E2545C"/>
    <w:rsid w:val="00E2634D"/>
    <w:rsid w:val="00E2663C"/>
    <w:rsid w:val="00E269E9"/>
    <w:rsid w:val="00E26A3A"/>
    <w:rsid w:val="00E30082"/>
    <w:rsid w:val="00E33C79"/>
    <w:rsid w:val="00E3444F"/>
    <w:rsid w:val="00E41093"/>
    <w:rsid w:val="00E4149D"/>
    <w:rsid w:val="00E43036"/>
    <w:rsid w:val="00E44D8B"/>
    <w:rsid w:val="00E45294"/>
    <w:rsid w:val="00E454D5"/>
    <w:rsid w:val="00E458C0"/>
    <w:rsid w:val="00E45F58"/>
    <w:rsid w:val="00E5153D"/>
    <w:rsid w:val="00E5200F"/>
    <w:rsid w:val="00E525C5"/>
    <w:rsid w:val="00E5266F"/>
    <w:rsid w:val="00E5376E"/>
    <w:rsid w:val="00E552AB"/>
    <w:rsid w:val="00E574D5"/>
    <w:rsid w:val="00E61CD2"/>
    <w:rsid w:val="00E639BE"/>
    <w:rsid w:val="00E6539C"/>
    <w:rsid w:val="00E67171"/>
    <w:rsid w:val="00E76219"/>
    <w:rsid w:val="00E769E0"/>
    <w:rsid w:val="00E76A59"/>
    <w:rsid w:val="00E80C00"/>
    <w:rsid w:val="00E81E1D"/>
    <w:rsid w:val="00E81EEB"/>
    <w:rsid w:val="00E81F56"/>
    <w:rsid w:val="00E828A7"/>
    <w:rsid w:val="00E830EF"/>
    <w:rsid w:val="00E937EF"/>
    <w:rsid w:val="00E93C47"/>
    <w:rsid w:val="00E9640E"/>
    <w:rsid w:val="00EA1277"/>
    <w:rsid w:val="00EA240F"/>
    <w:rsid w:val="00EA609E"/>
    <w:rsid w:val="00EA64AE"/>
    <w:rsid w:val="00EA7318"/>
    <w:rsid w:val="00EB0869"/>
    <w:rsid w:val="00EB1BFB"/>
    <w:rsid w:val="00EB2E93"/>
    <w:rsid w:val="00EB5B65"/>
    <w:rsid w:val="00EB7CBE"/>
    <w:rsid w:val="00EC204D"/>
    <w:rsid w:val="00EC2244"/>
    <w:rsid w:val="00EC2908"/>
    <w:rsid w:val="00EC3719"/>
    <w:rsid w:val="00EC4F91"/>
    <w:rsid w:val="00EC5336"/>
    <w:rsid w:val="00EC616F"/>
    <w:rsid w:val="00ED08A0"/>
    <w:rsid w:val="00ED09B4"/>
    <w:rsid w:val="00ED0C59"/>
    <w:rsid w:val="00ED4C6C"/>
    <w:rsid w:val="00ED53A1"/>
    <w:rsid w:val="00ED5CDB"/>
    <w:rsid w:val="00EE3057"/>
    <w:rsid w:val="00EE3EC5"/>
    <w:rsid w:val="00EE4F30"/>
    <w:rsid w:val="00EE6D54"/>
    <w:rsid w:val="00EE75A5"/>
    <w:rsid w:val="00EF21EA"/>
    <w:rsid w:val="00EF2E4D"/>
    <w:rsid w:val="00EF2F6B"/>
    <w:rsid w:val="00EF38FE"/>
    <w:rsid w:val="00EF3F58"/>
    <w:rsid w:val="00EF494D"/>
    <w:rsid w:val="00EF53CD"/>
    <w:rsid w:val="00EF629A"/>
    <w:rsid w:val="00EF6E9B"/>
    <w:rsid w:val="00EF7067"/>
    <w:rsid w:val="00F05251"/>
    <w:rsid w:val="00F102E3"/>
    <w:rsid w:val="00F117B5"/>
    <w:rsid w:val="00F130A1"/>
    <w:rsid w:val="00F13D6D"/>
    <w:rsid w:val="00F140F2"/>
    <w:rsid w:val="00F14572"/>
    <w:rsid w:val="00F15072"/>
    <w:rsid w:val="00F15144"/>
    <w:rsid w:val="00F162E6"/>
    <w:rsid w:val="00F24C85"/>
    <w:rsid w:val="00F24E91"/>
    <w:rsid w:val="00F271C5"/>
    <w:rsid w:val="00F30DE4"/>
    <w:rsid w:val="00F32938"/>
    <w:rsid w:val="00F34D39"/>
    <w:rsid w:val="00F34DA3"/>
    <w:rsid w:val="00F40F7A"/>
    <w:rsid w:val="00F417AD"/>
    <w:rsid w:val="00F42AD7"/>
    <w:rsid w:val="00F4344A"/>
    <w:rsid w:val="00F44F47"/>
    <w:rsid w:val="00F4580E"/>
    <w:rsid w:val="00F50569"/>
    <w:rsid w:val="00F521DF"/>
    <w:rsid w:val="00F53E15"/>
    <w:rsid w:val="00F54E8A"/>
    <w:rsid w:val="00F64411"/>
    <w:rsid w:val="00F6547E"/>
    <w:rsid w:val="00F66A99"/>
    <w:rsid w:val="00F7020D"/>
    <w:rsid w:val="00F74480"/>
    <w:rsid w:val="00F74D9A"/>
    <w:rsid w:val="00F7536D"/>
    <w:rsid w:val="00F75434"/>
    <w:rsid w:val="00F77663"/>
    <w:rsid w:val="00F811CC"/>
    <w:rsid w:val="00F813E3"/>
    <w:rsid w:val="00F83FF5"/>
    <w:rsid w:val="00F8702F"/>
    <w:rsid w:val="00F87717"/>
    <w:rsid w:val="00F9148C"/>
    <w:rsid w:val="00F93C26"/>
    <w:rsid w:val="00F96254"/>
    <w:rsid w:val="00F967FD"/>
    <w:rsid w:val="00F96923"/>
    <w:rsid w:val="00F97395"/>
    <w:rsid w:val="00F97B77"/>
    <w:rsid w:val="00FA0902"/>
    <w:rsid w:val="00FA0A30"/>
    <w:rsid w:val="00FA1BF0"/>
    <w:rsid w:val="00FA30CE"/>
    <w:rsid w:val="00FA495B"/>
    <w:rsid w:val="00FA4E80"/>
    <w:rsid w:val="00FA5DF2"/>
    <w:rsid w:val="00FA76F7"/>
    <w:rsid w:val="00FB0313"/>
    <w:rsid w:val="00FB0661"/>
    <w:rsid w:val="00FB267C"/>
    <w:rsid w:val="00FB28FA"/>
    <w:rsid w:val="00FB3032"/>
    <w:rsid w:val="00FB332F"/>
    <w:rsid w:val="00FB4190"/>
    <w:rsid w:val="00FB56FB"/>
    <w:rsid w:val="00FB670F"/>
    <w:rsid w:val="00FB743C"/>
    <w:rsid w:val="00FC02D7"/>
    <w:rsid w:val="00FC3A35"/>
    <w:rsid w:val="00FC4E9E"/>
    <w:rsid w:val="00FC72D5"/>
    <w:rsid w:val="00FC7C40"/>
    <w:rsid w:val="00FD0A4E"/>
    <w:rsid w:val="00FD0EF8"/>
    <w:rsid w:val="00FD20C3"/>
    <w:rsid w:val="00FD2392"/>
    <w:rsid w:val="00FD278C"/>
    <w:rsid w:val="00FD393A"/>
    <w:rsid w:val="00FD5A2C"/>
    <w:rsid w:val="00FD68E9"/>
    <w:rsid w:val="00FD7999"/>
    <w:rsid w:val="00FE0C2D"/>
    <w:rsid w:val="00FE2130"/>
    <w:rsid w:val="00FE25D3"/>
    <w:rsid w:val="00FE7327"/>
    <w:rsid w:val="00FE7814"/>
    <w:rsid w:val="00FE7F47"/>
    <w:rsid w:val="00FE7F52"/>
    <w:rsid w:val="00FF06B4"/>
    <w:rsid w:val="00FF2341"/>
    <w:rsid w:val="00FF4107"/>
    <w:rsid w:val="00FF44EC"/>
    <w:rsid w:val="00FF4DE7"/>
    <w:rsid w:val="00FF6CDC"/>
    <w:rsid w:val="00FF798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1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C0B"/>
    <w:pPr>
      <w:spacing w:line="360" w:lineRule="auto"/>
    </w:pPr>
    <w:rPr>
      <w:sz w:val="24"/>
      <w:szCs w:val="24"/>
    </w:rPr>
  </w:style>
  <w:style w:type="paragraph" w:styleId="Heading1">
    <w:name w:val="heading 1"/>
    <w:basedOn w:val="Normal"/>
    <w:next w:val="Normal"/>
    <w:link w:val="Heading1Char"/>
    <w:uiPriority w:val="99"/>
    <w:qFormat/>
    <w:rsid w:val="00537FBB"/>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537FBB"/>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63084"/>
    <w:rPr>
      <w:rFonts w:ascii="Cambria" w:hAnsi="Cambria" w:cs="Times New Roman"/>
      <w:b/>
      <w:bCs/>
      <w:kern w:val="32"/>
      <w:sz w:val="32"/>
      <w:szCs w:val="32"/>
      <w:lang w:val="nb-NO" w:eastAsia="nb-NO"/>
    </w:rPr>
  </w:style>
  <w:style w:type="character" w:customStyle="1" w:styleId="Heading2Char">
    <w:name w:val="Heading 2 Char"/>
    <w:basedOn w:val="DefaultParagraphFont"/>
    <w:link w:val="Heading2"/>
    <w:uiPriority w:val="99"/>
    <w:semiHidden/>
    <w:locked/>
    <w:rsid w:val="00463084"/>
    <w:rPr>
      <w:rFonts w:ascii="Cambria" w:hAnsi="Cambria" w:cs="Times New Roman"/>
      <w:b/>
      <w:bCs/>
      <w:i/>
      <w:iCs/>
      <w:sz w:val="28"/>
      <w:szCs w:val="28"/>
      <w:lang w:val="nb-NO" w:eastAsia="nb-NO"/>
    </w:rPr>
  </w:style>
  <w:style w:type="paragraph" w:styleId="BalloonText">
    <w:name w:val="Balloon Text"/>
    <w:basedOn w:val="Normal"/>
    <w:link w:val="BalloonTextChar"/>
    <w:uiPriority w:val="99"/>
    <w:semiHidden/>
    <w:rsid w:val="005A33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3084"/>
    <w:rPr>
      <w:rFonts w:cs="Times New Roman"/>
      <w:sz w:val="2"/>
      <w:lang w:val="nb-NO" w:eastAsia="nb-NO"/>
    </w:rPr>
  </w:style>
  <w:style w:type="character" w:styleId="FootnoteReference">
    <w:name w:val="footnote reference"/>
    <w:aliases w:val="Footnote Reference Number"/>
    <w:basedOn w:val="DefaultParagraphFont"/>
    <w:uiPriority w:val="99"/>
    <w:semiHidden/>
    <w:rsid w:val="009D79DC"/>
    <w:rPr>
      <w:rFonts w:cs="Times New Roman"/>
      <w:sz w:val="22"/>
      <w:vertAlign w:val="superscript"/>
      <w:lang w:val="nb-NO"/>
    </w:rPr>
  </w:style>
  <w:style w:type="paragraph" w:styleId="FootnoteText">
    <w:name w:val="footnote text"/>
    <w:basedOn w:val="Normal"/>
    <w:link w:val="FootnoteTextChar"/>
    <w:uiPriority w:val="99"/>
    <w:semiHidden/>
    <w:rsid w:val="00537FBB"/>
    <w:pPr>
      <w:tabs>
        <w:tab w:val="left" w:pos="170"/>
      </w:tabs>
      <w:ind w:left="170" w:hanging="170"/>
    </w:pPr>
    <w:rPr>
      <w:sz w:val="18"/>
      <w:szCs w:val="20"/>
    </w:rPr>
  </w:style>
  <w:style w:type="character" w:customStyle="1" w:styleId="FootnoteTextChar">
    <w:name w:val="Footnote Text Char"/>
    <w:basedOn w:val="DefaultParagraphFont"/>
    <w:link w:val="FootnoteText"/>
    <w:uiPriority w:val="99"/>
    <w:semiHidden/>
    <w:locked/>
    <w:rsid w:val="00463084"/>
    <w:rPr>
      <w:rFonts w:cs="Times New Roman"/>
      <w:sz w:val="20"/>
      <w:szCs w:val="20"/>
      <w:lang w:val="nb-NO" w:eastAsia="nb-NO"/>
    </w:rPr>
  </w:style>
  <w:style w:type="character" w:customStyle="1" w:styleId="MTEquationSection">
    <w:name w:val="MTEquationSection"/>
    <w:basedOn w:val="DefaultParagraphFont"/>
    <w:uiPriority w:val="99"/>
    <w:rsid w:val="009D79DC"/>
    <w:rPr>
      <w:rFonts w:cs="Times New Roman"/>
      <w:vanish/>
      <w:color w:val="FF0000"/>
      <w:lang w:val="en-US"/>
    </w:rPr>
  </w:style>
  <w:style w:type="paragraph" w:customStyle="1" w:styleId="Formel">
    <w:name w:val="Formel"/>
    <w:basedOn w:val="Normal"/>
    <w:uiPriority w:val="99"/>
    <w:rsid w:val="009D79DC"/>
    <w:pPr>
      <w:tabs>
        <w:tab w:val="center" w:pos="3119"/>
        <w:tab w:val="right" w:pos="6237"/>
      </w:tabs>
      <w:suppressAutoHyphens/>
      <w:spacing w:after="120"/>
      <w:jc w:val="center"/>
    </w:pPr>
    <w:rPr>
      <w:szCs w:val="20"/>
      <w:lang w:val="en-GB" w:eastAsia="de-DE"/>
    </w:rPr>
  </w:style>
  <w:style w:type="paragraph" w:customStyle="1" w:styleId="Einruecken">
    <w:name w:val="Einruecken"/>
    <w:basedOn w:val="Normal"/>
    <w:uiPriority w:val="99"/>
    <w:rsid w:val="009D79DC"/>
    <w:pPr>
      <w:spacing w:after="120"/>
      <w:ind w:firstLine="709"/>
      <w:jc w:val="both"/>
    </w:pPr>
    <w:rPr>
      <w:szCs w:val="20"/>
      <w:lang w:val="en-US" w:eastAsia="de-DE"/>
    </w:rPr>
  </w:style>
  <w:style w:type="table" w:styleId="TableGrid">
    <w:name w:val="Table Grid"/>
    <w:basedOn w:val="TableNormal"/>
    <w:uiPriority w:val="99"/>
    <w:rsid w:val="00CC32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30D5F"/>
    <w:rPr>
      <w:rFonts w:cs="Times New Roman"/>
      <w:color w:val="0000FF"/>
      <w:u w:val="single"/>
    </w:rPr>
  </w:style>
  <w:style w:type="paragraph" w:styleId="BodyTextIndent">
    <w:name w:val="Body Text Indent"/>
    <w:basedOn w:val="Normal"/>
    <w:link w:val="BodyTextIndentChar"/>
    <w:uiPriority w:val="99"/>
    <w:rsid w:val="00830D5F"/>
    <w:pPr>
      <w:spacing w:after="120"/>
      <w:ind w:left="283"/>
    </w:pPr>
    <w:rPr>
      <w:szCs w:val="20"/>
      <w:lang w:val="en-US" w:eastAsia="de-DE"/>
    </w:rPr>
  </w:style>
  <w:style w:type="character" w:customStyle="1" w:styleId="BodyTextIndentChar">
    <w:name w:val="Body Text Indent Char"/>
    <w:basedOn w:val="DefaultParagraphFont"/>
    <w:link w:val="BodyTextIndent"/>
    <w:uiPriority w:val="99"/>
    <w:semiHidden/>
    <w:locked/>
    <w:rsid w:val="00463084"/>
    <w:rPr>
      <w:rFonts w:cs="Times New Roman"/>
      <w:sz w:val="24"/>
      <w:szCs w:val="24"/>
      <w:lang w:val="nb-NO" w:eastAsia="nb-NO"/>
    </w:rPr>
  </w:style>
  <w:style w:type="paragraph" w:customStyle="1" w:styleId="HTMLBody">
    <w:name w:val="HTML Body"/>
    <w:uiPriority w:val="99"/>
    <w:rsid w:val="00830D5F"/>
    <w:rPr>
      <w:rFonts w:ascii="Arial" w:hAnsi="Arial"/>
      <w:sz w:val="20"/>
      <w:szCs w:val="20"/>
      <w:lang w:val="de-DE" w:eastAsia="de-DE"/>
    </w:rPr>
  </w:style>
  <w:style w:type="paragraph" w:styleId="Footer">
    <w:name w:val="footer"/>
    <w:basedOn w:val="Normal"/>
    <w:link w:val="FooterChar"/>
    <w:uiPriority w:val="99"/>
    <w:rsid w:val="00FE25D3"/>
    <w:pPr>
      <w:tabs>
        <w:tab w:val="center" w:pos="4536"/>
        <w:tab w:val="right" w:pos="9072"/>
      </w:tabs>
    </w:pPr>
  </w:style>
  <w:style w:type="character" w:customStyle="1" w:styleId="FooterChar">
    <w:name w:val="Footer Char"/>
    <w:basedOn w:val="DefaultParagraphFont"/>
    <w:link w:val="Footer"/>
    <w:uiPriority w:val="99"/>
    <w:locked/>
    <w:rsid w:val="004D6B91"/>
    <w:rPr>
      <w:rFonts w:cs="Times New Roman"/>
      <w:sz w:val="24"/>
      <w:szCs w:val="24"/>
      <w:lang w:val="nb-NO" w:eastAsia="nb-NO" w:bidi="ar-SA"/>
    </w:rPr>
  </w:style>
  <w:style w:type="character" w:styleId="PageNumber">
    <w:name w:val="page number"/>
    <w:basedOn w:val="DefaultParagraphFont"/>
    <w:uiPriority w:val="99"/>
    <w:rsid w:val="00FE25D3"/>
    <w:rPr>
      <w:rFonts w:cs="Times New Roman"/>
    </w:rPr>
  </w:style>
  <w:style w:type="character" w:styleId="FollowedHyperlink">
    <w:name w:val="FollowedHyperlink"/>
    <w:basedOn w:val="DefaultParagraphFont"/>
    <w:uiPriority w:val="99"/>
    <w:rsid w:val="00692F22"/>
    <w:rPr>
      <w:rFonts w:cs="Times New Roman"/>
      <w:color w:val="800080"/>
      <w:u w:val="single"/>
    </w:rPr>
  </w:style>
  <w:style w:type="character" w:styleId="CommentReference">
    <w:name w:val="annotation reference"/>
    <w:basedOn w:val="DefaultParagraphFont"/>
    <w:uiPriority w:val="99"/>
    <w:semiHidden/>
    <w:rsid w:val="006924C0"/>
    <w:rPr>
      <w:rFonts w:cs="Times New Roman"/>
      <w:sz w:val="16"/>
      <w:szCs w:val="16"/>
    </w:rPr>
  </w:style>
  <w:style w:type="paragraph" w:styleId="CommentText">
    <w:name w:val="annotation text"/>
    <w:basedOn w:val="Normal"/>
    <w:link w:val="CommentTextChar"/>
    <w:uiPriority w:val="99"/>
    <w:semiHidden/>
    <w:rsid w:val="006924C0"/>
    <w:rPr>
      <w:sz w:val="20"/>
      <w:szCs w:val="20"/>
    </w:rPr>
  </w:style>
  <w:style w:type="character" w:customStyle="1" w:styleId="CommentTextChar">
    <w:name w:val="Comment Text Char"/>
    <w:basedOn w:val="DefaultParagraphFont"/>
    <w:link w:val="CommentText"/>
    <w:uiPriority w:val="99"/>
    <w:semiHidden/>
    <w:locked/>
    <w:rsid w:val="00463084"/>
    <w:rPr>
      <w:rFonts w:cs="Times New Roman"/>
      <w:sz w:val="20"/>
      <w:szCs w:val="20"/>
      <w:lang w:val="nb-NO" w:eastAsia="nb-NO"/>
    </w:rPr>
  </w:style>
  <w:style w:type="paragraph" w:styleId="CommentSubject">
    <w:name w:val="annotation subject"/>
    <w:basedOn w:val="CommentText"/>
    <w:next w:val="CommentText"/>
    <w:link w:val="CommentSubjectChar"/>
    <w:uiPriority w:val="99"/>
    <w:semiHidden/>
    <w:rsid w:val="006924C0"/>
    <w:rPr>
      <w:b/>
      <w:bCs/>
    </w:rPr>
  </w:style>
  <w:style w:type="character" w:customStyle="1" w:styleId="CommentSubjectChar">
    <w:name w:val="Comment Subject Char"/>
    <w:basedOn w:val="CommentTextChar"/>
    <w:link w:val="CommentSubject"/>
    <w:uiPriority w:val="99"/>
    <w:semiHidden/>
    <w:locked/>
    <w:rsid w:val="00463084"/>
    <w:rPr>
      <w:rFonts w:cs="Times New Roman"/>
      <w:b/>
      <w:bCs/>
      <w:sz w:val="20"/>
      <w:szCs w:val="20"/>
      <w:lang w:val="nb-NO" w:eastAsia="nb-NO"/>
    </w:rPr>
  </w:style>
  <w:style w:type="character" w:customStyle="1" w:styleId="pagination">
    <w:name w:val="pagination"/>
    <w:basedOn w:val="DefaultParagraphFont"/>
    <w:uiPriority w:val="99"/>
    <w:rsid w:val="00A55DD5"/>
    <w:rPr>
      <w:rFonts w:cs="Times New Roman"/>
    </w:rPr>
  </w:style>
  <w:style w:type="character" w:customStyle="1" w:styleId="doi">
    <w:name w:val="doi"/>
    <w:basedOn w:val="DefaultParagraphFont"/>
    <w:uiPriority w:val="99"/>
    <w:rsid w:val="00A55DD5"/>
    <w:rPr>
      <w:rFonts w:cs="Times New Roman"/>
    </w:rPr>
  </w:style>
  <w:style w:type="character" w:customStyle="1" w:styleId="label">
    <w:name w:val="label"/>
    <w:basedOn w:val="DefaultParagraphFont"/>
    <w:uiPriority w:val="99"/>
    <w:rsid w:val="00A55DD5"/>
    <w:rPr>
      <w:rFonts w:cs="Times New Roman"/>
    </w:rPr>
  </w:style>
  <w:style w:type="character" w:customStyle="1" w:styleId="value">
    <w:name w:val="value"/>
    <w:basedOn w:val="DefaultParagraphFont"/>
    <w:uiPriority w:val="99"/>
    <w:rsid w:val="00A55DD5"/>
    <w:rPr>
      <w:rFonts w:cs="Times New Roman"/>
    </w:rPr>
  </w:style>
  <w:style w:type="character" w:styleId="PlaceholderText">
    <w:name w:val="Placeholder Text"/>
    <w:basedOn w:val="DefaultParagraphFont"/>
    <w:uiPriority w:val="99"/>
    <w:semiHidden/>
    <w:rsid w:val="00765035"/>
    <w:rPr>
      <w:rFonts w:cs="Times New Roman"/>
      <w:color w:val="808080"/>
    </w:rPr>
  </w:style>
  <w:style w:type="table" w:styleId="TableSimple1">
    <w:name w:val="Table Simple 1"/>
    <w:basedOn w:val="TableNormal"/>
    <w:uiPriority w:val="99"/>
    <w:rsid w:val="004117AC"/>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Title">
    <w:name w:val="Title"/>
    <w:basedOn w:val="Normal"/>
    <w:link w:val="TitleChar"/>
    <w:uiPriority w:val="99"/>
    <w:qFormat/>
    <w:locked/>
    <w:rsid w:val="00DA7D46"/>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DE3E7B"/>
    <w:rPr>
      <w:rFonts w:ascii="Cambria" w:eastAsia="SimSun" w:hAnsi="Cambria" w:cs="Times New Roman"/>
      <w:b/>
      <w:bCs/>
      <w:kern w:val="28"/>
      <w:sz w:val="32"/>
      <w:szCs w:val="32"/>
    </w:rPr>
  </w:style>
  <w:style w:type="paragraph" w:styleId="Subtitle">
    <w:name w:val="Subtitle"/>
    <w:basedOn w:val="Normal"/>
    <w:link w:val="SubtitleChar"/>
    <w:uiPriority w:val="99"/>
    <w:qFormat/>
    <w:locked/>
    <w:rsid w:val="00DA7D46"/>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DE3E7B"/>
    <w:rPr>
      <w:rFonts w:ascii="Cambria" w:eastAsia="SimSun" w:hAnsi="Cambria" w:cs="Times New Roman"/>
      <w:sz w:val="24"/>
      <w:szCs w:val="24"/>
    </w:rPr>
  </w:style>
  <w:style w:type="paragraph" w:styleId="Revision">
    <w:name w:val="Revision"/>
    <w:hidden/>
    <w:uiPriority w:val="99"/>
    <w:semiHidden/>
    <w:rsid w:val="006C0B08"/>
    <w:rPr>
      <w:sz w:val="24"/>
      <w:szCs w:val="24"/>
    </w:rPr>
  </w:style>
  <w:style w:type="paragraph" w:styleId="BodyText">
    <w:name w:val="Body Text"/>
    <w:basedOn w:val="Normal"/>
    <w:link w:val="BodyTextChar"/>
    <w:uiPriority w:val="99"/>
    <w:rsid w:val="00F15144"/>
    <w:pPr>
      <w:spacing w:after="120"/>
    </w:pPr>
  </w:style>
  <w:style w:type="character" w:customStyle="1" w:styleId="BodyTextChar">
    <w:name w:val="Body Text Char"/>
    <w:basedOn w:val="DefaultParagraphFont"/>
    <w:link w:val="BodyText"/>
    <w:uiPriority w:val="99"/>
    <w:semiHidden/>
    <w:locked/>
    <w:rsid w:val="000A662A"/>
    <w:rPr>
      <w:rFonts w:cs="Times New Roman"/>
      <w:sz w:val="24"/>
      <w:szCs w:val="24"/>
    </w:rPr>
  </w:style>
  <w:style w:type="paragraph" w:customStyle="1" w:styleId="Ligning">
    <w:name w:val="Ligning"/>
    <w:basedOn w:val="Normal"/>
    <w:uiPriority w:val="99"/>
    <w:rsid w:val="00884933"/>
    <w:pPr>
      <w:spacing w:before="120"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C0B"/>
    <w:pPr>
      <w:spacing w:line="360" w:lineRule="auto"/>
    </w:pPr>
    <w:rPr>
      <w:sz w:val="24"/>
      <w:szCs w:val="24"/>
    </w:rPr>
  </w:style>
  <w:style w:type="paragraph" w:styleId="Heading1">
    <w:name w:val="heading 1"/>
    <w:basedOn w:val="Normal"/>
    <w:next w:val="Normal"/>
    <w:link w:val="Heading1Char"/>
    <w:uiPriority w:val="99"/>
    <w:qFormat/>
    <w:rsid w:val="00537FBB"/>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537FBB"/>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63084"/>
    <w:rPr>
      <w:rFonts w:ascii="Cambria" w:hAnsi="Cambria" w:cs="Times New Roman"/>
      <w:b/>
      <w:bCs/>
      <w:kern w:val="32"/>
      <w:sz w:val="32"/>
      <w:szCs w:val="32"/>
      <w:lang w:val="nb-NO" w:eastAsia="nb-NO"/>
    </w:rPr>
  </w:style>
  <w:style w:type="character" w:customStyle="1" w:styleId="Heading2Char">
    <w:name w:val="Heading 2 Char"/>
    <w:basedOn w:val="DefaultParagraphFont"/>
    <w:link w:val="Heading2"/>
    <w:uiPriority w:val="99"/>
    <w:semiHidden/>
    <w:locked/>
    <w:rsid w:val="00463084"/>
    <w:rPr>
      <w:rFonts w:ascii="Cambria" w:hAnsi="Cambria" w:cs="Times New Roman"/>
      <w:b/>
      <w:bCs/>
      <w:i/>
      <w:iCs/>
      <w:sz w:val="28"/>
      <w:szCs w:val="28"/>
      <w:lang w:val="nb-NO" w:eastAsia="nb-NO"/>
    </w:rPr>
  </w:style>
  <w:style w:type="paragraph" w:styleId="BalloonText">
    <w:name w:val="Balloon Text"/>
    <w:basedOn w:val="Normal"/>
    <w:link w:val="BalloonTextChar"/>
    <w:uiPriority w:val="99"/>
    <w:semiHidden/>
    <w:rsid w:val="005A33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3084"/>
    <w:rPr>
      <w:rFonts w:cs="Times New Roman"/>
      <w:sz w:val="2"/>
      <w:lang w:val="nb-NO" w:eastAsia="nb-NO"/>
    </w:rPr>
  </w:style>
  <w:style w:type="character" w:styleId="FootnoteReference">
    <w:name w:val="footnote reference"/>
    <w:aliases w:val="Footnote Reference Number"/>
    <w:basedOn w:val="DefaultParagraphFont"/>
    <w:uiPriority w:val="99"/>
    <w:semiHidden/>
    <w:rsid w:val="009D79DC"/>
    <w:rPr>
      <w:rFonts w:cs="Times New Roman"/>
      <w:sz w:val="22"/>
      <w:vertAlign w:val="superscript"/>
      <w:lang w:val="nb-NO"/>
    </w:rPr>
  </w:style>
  <w:style w:type="paragraph" w:styleId="FootnoteText">
    <w:name w:val="footnote text"/>
    <w:basedOn w:val="Normal"/>
    <w:link w:val="FootnoteTextChar"/>
    <w:uiPriority w:val="99"/>
    <w:semiHidden/>
    <w:rsid w:val="00537FBB"/>
    <w:pPr>
      <w:tabs>
        <w:tab w:val="left" w:pos="170"/>
      </w:tabs>
      <w:ind w:left="170" w:hanging="170"/>
    </w:pPr>
    <w:rPr>
      <w:sz w:val="18"/>
      <w:szCs w:val="20"/>
    </w:rPr>
  </w:style>
  <w:style w:type="character" w:customStyle="1" w:styleId="FootnoteTextChar">
    <w:name w:val="Footnote Text Char"/>
    <w:basedOn w:val="DefaultParagraphFont"/>
    <w:link w:val="FootnoteText"/>
    <w:uiPriority w:val="99"/>
    <w:semiHidden/>
    <w:locked/>
    <w:rsid w:val="00463084"/>
    <w:rPr>
      <w:rFonts w:cs="Times New Roman"/>
      <w:sz w:val="20"/>
      <w:szCs w:val="20"/>
      <w:lang w:val="nb-NO" w:eastAsia="nb-NO"/>
    </w:rPr>
  </w:style>
  <w:style w:type="character" w:customStyle="1" w:styleId="MTEquationSection">
    <w:name w:val="MTEquationSection"/>
    <w:basedOn w:val="DefaultParagraphFont"/>
    <w:uiPriority w:val="99"/>
    <w:rsid w:val="009D79DC"/>
    <w:rPr>
      <w:rFonts w:cs="Times New Roman"/>
      <w:vanish/>
      <w:color w:val="FF0000"/>
      <w:lang w:val="en-US"/>
    </w:rPr>
  </w:style>
  <w:style w:type="paragraph" w:customStyle="1" w:styleId="Formel">
    <w:name w:val="Formel"/>
    <w:basedOn w:val="Normal"/>
    <w:uiPriority w:val="99"/>
    <w:rsid w:val="009D79DC"/>
    <w:pPr>
      <w:tabs>
        <w:tab w:val="center" w:pos="3119"/>
        <w:tab w:val="right" w:pos="6237"/>
      </w:tabs>
      <w:suppressAutoHyphens/>
      <w:spacing w:after="120"/>
      <w:jc w:val="center"/>
    </w:pPr>
    <w:rPr>
      <w:szCs w:val="20"/>
      <w:lang w:val="en-GB" w:eastAsia="de-DE"/>
    </w:rPr>
  </w:style>
  <w:style w:type="paragraph" w:customStyle="1" w:styleId="Einruecken">
    <w:name w:val="Einruecken"/>
    <w:basedOn w:val="Normal"/>
    <w:uiPriority w:val="99"/>
    <w:rsid w:val="009D79DC"/>
    <w:pPr>
      <w:spacing w:after="120"/>
      <w:ind w:firstLine="709"/>
      <w:jc w:val="both"/>
    </w:pPr>
    <w:rPr>
      <w:szCs w:val="20"/>
      <w:lang w:val="en-US" w:eastAsia="de-DE"/>
    </w:rPr>
  </w:style>
  <w:style w:type="table" w:styleId="TableGrid">
    <w:name w:val="Table Grid"/>
    <w:basedOn w:val="TableNormal"/>
    <w:uiPriority w:val="99"/>
    <w:rsid w:val="00CC32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30D5F"/>
    <w:rPr>
      <w:rFonts w:cs="Times New Roman"/>
      <w:color w:val="0000FF"/>
      <w:u w:val="single"/>
    </w:rPr>
  </w:style>
  <w:style w:type="paragraph" w:styleId="BodyTextIndent">
    <w:name w:val="Body Text Indent"/>
    <w:basedOn w:val="Normal"/>
    <w:link w:val="BodyTextIndentChar"/>
    <w:uiPriority w:val="99"/>
    <w:rsid w:val="00830D5F"/>
    <w:pPr>
      <w:spacing w:after="120"/>
      <w:ind w:left="283"/>
    </w:pPr>
    <w:rPr>
      <w:szCs w:val="20"/>
      <w:lang w:val="en-US" w:eastAsia="de-DE"/>
    </w:rPr>
  </w:style>
  <w:style w:type="character" w:customStyle="1" w:styleId="BodyTextIndentChar">
    <w:name w:val="Body Text Indent Char"/>
    <w:basedOn w:val="DefaultParagraphFont"/>
    <w:link w:val="BodyTextIndent"/>
    <w:uiPriority w:val="99"/>
    <w:semiHidden/>
    <w:locked/>
    <w:rsid w:val="00463084"/>
    <w:rPr>
      <w:rFonts w:cs="Times New Roman"/>
      <w:sz w:val="24"/>
      <w:szCs w:val="24"/>
      <w:lang w:val="nb-NO" w:eastAsia="nb-NO"/>
    </w:rPr>
  </w:style>
  <w:style w:type="paragraph" w:customStyle="1" w:styleId="HTMLBody">
    <w:name w:val="HTML Body"/>
    <w:uiPriority w:val="99"/>
    <w:rsid w:val="00830D5F"/>
    <w:rPr>
      <w:rFonts w:ascii="Arial" w:hAnsi="Arial"/>
      <w:sz w:val="20"/>
      <w:szCs w:val="20"/>
      <w:lang w:val="de-DE" w:eastAsia="de-DE"/>
    </w:rPr>
  </w:style>
  <w:style w:type="paragraph" w:styleId="Footer">
    <w:name w:val="footer"/>
    <w:basedOn w:val="Normal"/>
    <w:link w:val="FooterChar"/>
    <w:uiPriority w:val="99"/>
    <w:rsid w:val="00FE25D3"/>
    <w:pPr>
      <w:tabs>
        <w:tab w:val="center" w:pos="4536"/>
        <w:tab w:val="right" w:pos="9072"/>
      </w:tabs>
    </w:pPr>
  </w:style>
  <w:style w:type="character" w:customStyle="1" w:styleId="FooterChar">
    <w:name w:val="Footer Char"/>
    <w:basedOn w:val="DefaultParagraphFont"/>
    <w:link w:val="Footer"/>
    <w:uiPriority w:val="99"/>
    <w:locked/>
    <w:rsid w:val="004D6B91"/>
    <w:rPr>
      <w:rFonts w:cs="Times New Roman"/>
      <w:sz w:val="24"/>
      <w:szCs w:val="24"/>
      <w:lang w:val="nb-NO" w:eastAsia="nb-NO" w:bidi="ar-SA"/>
    </w:rPr>
  </w:style>
  <w:style w:type="character" w:styleId="PageNumber">
    <w:name w:val="page number"/>
    <w:basedOn w:val="DefaultParagraphFont"/>
    <w:uiPriority w:val="99"/>
    <w:rsid w:val="00FE25D3"/>
    <w:rPr>
      <w:rFonts w:cs="Times New Roman"/>
    </w:rPr>
  </w:style>
  <w:style w:type="character" w:styleId="FollowedHyperlink">
    <w:name w:val="FollowedHyperlink"/>
    <w:basedOn w:val="DefaultParagraphFont"/>
    <w:uiPriority w:val="99"/>
    <w:rsid w:val="00692F22"/>
    <w:rPr>
      <w:rFonts w:cs="Times New Roman"/>
      <w:color w:val="800080"/>
      <w:u w:val="single"/>
    </w:rPr>
  </w:style>
  <w:style w:type="character" w:styleId="CommentReference">
    <w:name w:val="annotation reference"/>
    <w:basedOn w:val="DefaultParagraphFont"/>
    <w:uiPriority w:val="99"/>
    <w:semiHidden/>
    <w:rsid w:val="006924C0"/>
    <w:rPr>
      <w:rFonts w:cs="Times New Roman"/>
      <w:sz w:val="16"/>
      <w:szCs w:val="16"/>
    </w:rPr>
  </w:style>
  <w:style w:type="paragraph" w:styleId="CommentText">
    <w:name w:val="annotation text"/>
    <w:basedOn w:val="Normal"/>
    <w:link w:val="CommentTextChar"/>
    <w:uiPriority w:val="99"/>
    <w:semiHidden/>
    <w:rsid w:val="006924C0"/>
    <w:rPr>
      <w:sz w:val="20"/>
      <w:szCs w:val="20"/>
    </w:rPr>
  </w:style>
  <w:style w:type="character" w:customStyle="1" w:styleId="CommentTextChar">
    <w:name w:val="Comment Text Char"/>
    <w:basedOn w:val="DefaultParagraphFont"/>
    <w:link w:val="CommentText"/>
    <w:uiPriority w:val="99"/>
    <w:semiHidden/>
    <w:locked/>
    <w:rsid w:val="00463084"/>
    <w:rPr>
      <w:rFonts w:cs="Times New Roman"/>
      <w:sz w:val="20"/>
      <w:szCs w:val="20"/>
      <w:lang w:val="nb-NO" w:eastAsia="nb-NO"/>
    </w:rPr>
  </w:style>
  <w:style w:type="paragraph" w:styleId="CommentSubject">
    <w:name w:val="annotation subject"/>
    <w:basedOn w:val="CommentText"/>
    <w:next w:val="CommentText"/>
    <w:link w:val="CommentSubjectChar"/>
    <w:uiPriority w:val="99"/>
    <w:semiHidden/>
    <w:rsid w:val="006924C0"/>
    <w:rPr>
      <w:b/>
      <w:bCs/>
    </w:rPr>
  </w:style>
  <w:style w:type="character" w:customStyle="1" w:styleId="CommentSubjectChar">
    <w:name w:val="Comment Subject Char"/>
    <w:basedOn w:val="CommentTextChar"/>
    <w:link w:val="CommentSubject"/>
    <w:uiPriority w:val="99"/>
    <w:semiHidden/>
    <w:locked/>
    <w:rsid w:val="00463084"/>
    <w:rPr>
      <w:rFonts w:cs="Times New Roman"/>
      <w:b/>
      <w:bCs/>
      <w:sz w:val="20"/>
      <w:szCs w:val="20"/>
      <w:lang w:val="nb-NO" w:eastAsia="nb-NO"/>
    </w:rPr>
  </w:style>
  <w:style w:type="character" w:customStyle="1" w:styleId="pagination">
    <w:name w:val="pagination"/>
    <w:basedOn w:val="DefaultParagraphFont"/>
    <w:uiPriority w:val="99"/>
    <w:rsid w:val="00A55DD5"/>
    <w:rPr>
      <w:rFonts w:cs="Times New Roman"/>
    </w:rPr>
  </w:style>
  <w:style w:type="character" w:customStyle="1" w:styleId="doi">
    <w:name w:val="doi"/>
    <w:basedOn w:val="DefaultParagraphFont"/>
    <w:uiPriority w:val="99"/>
    <w:rsid w:val="00A55DD5"/>
    <w:rPr>
      <w:rFonts w:cs="Times New Roman"/>
    </w:rPr>
  </w:style>
  <w:style w:type="character" w:customStyle="1" w:styleId="label">
    <w:name w:val="label"/>
    <w:basedOn w:val="DefaultParagraphFont"/>
    <w:uiPriority w:val="99"/>
    <w:rsid w:val="00A55DD5"/>
    <w:rPr>
      <w:rFonts w:cs="Times New Roman"/>
    </w:rPr>
  </w:style>
  <w:style w:type="character" w:customStyle="1" w:styleId="value">
    <w:name w:val="value"/>
    <w:basedOn w:val="DefaultParagraphFont"/>
    <w:uiPriority w:val="99"/>
    <w:rsid w:val="00A55DD5"/>
    <w:rPr>
      <w:rFonts w:cs="Times New Roman"/>
    </w:rPr>
  </w:style>
  <w:style w:type="character" w:styleId="PlaceholderText">
    <w:name w:val="Placeholder Text"/>
    <w:basedOn w:val="DefaultParagraphFont"/>
    <w:uiPriority w:val="99"/>
    <w:semiHidden/>
    <w:rsid w:val="00765035"/>
    <w:rPr>
      <w:rFonts w:cs="Times New Roman"/>
      <w:color w:val="808080"/>
    </w:rPr>
  </w:style>
  <w:style w:type="table" w:styleId="TableSimple1">
    <w:name w:val="Table Simple 1"/>
    <w:basedOn w:val="TableNormal"/>
    <w:uiPriority w:val="99"/>
    <w:rsid w:val="004117AC"/>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Title">
    <w:name w:val="Title"/>
    <w:basedOn w:val="Normal"/>
    <w:link w:val="TitleChar"/>
    <w:uiPriority w:val="99"/>
    <w:qFormat/>
    <w:locked/>
    <w:rsid w:val="00DA7D46"/>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DE3E7B"/>
    <w:rPr>
      <w:rFonts w:ascii="Cambria" w:eastAsia="SimSun" w:hAnsi="Cambria" w:cs="Times New Roman"/>
      <w:b/>
      <w:bCs/>
      <w:kern w:val="28"/>
      <w:sz w:val="32"/>
      <w:szCs w:val="32"/>
    </w:rPr>
  </w:style>
  <w:style w:type="paragraph" w:styleId="Subtitle">
    <w:name w:val="Subtitle"/>
    <w:basedOn w:val="Normal"/>
    <w:link w:val="SubtitleChar"/>
    <w:uiPriority w:val="99"/>
    <w:qFormat/>
    <w:locked/>
    <w:rsid w:val="00DA7D46"/>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DE3E7B"/>
    <w:rPr>
      <w:rFonts w:ascii="Cambria" w:eastAsia="SimSun" w:hAnsi="Cambria" w:cs="Times New Roman"/>
      <w:sz w:val="24"/>
      <w:szCs w:val="24"/>
    </w:rPr>
  </w:style>
  <w:style w:type="paragraph" w:styleId="Revision">
    <w:name w:val="Revision"/>
    <w:hidden/>
    <w:uiPriority w:val="99"/>
    <w:semiHidden/>
    <w:rsid w:val="006C0B08"/>
    <w:rPr>
      <w:sz w:val="24"/>
      <w:szCs w:val="24"/>
    </w:rPr>
  </w:style>
  <w:style w:type="paragraph" w:styleId="BodyText">
    <w:name w:val="Body Text"/>
    <w:basedOn w:val="Normal"/>
    <w:link w:val="BodyTextChar"/>
    <w:uiPriority w:val="99"/>
    <w:rsid w:val="00F15144"/>
    <w:pPr>
      <w:spacing w:after="120"/>
    </w:pPr>
  </w:style>
  <w:style w:type="character" w:customStyle="1" w:styleId="BodyTextChar">
    <w:name w:val="Body Text Char"/>
    <w:basedOn w:val="DefaultParagraphFont"/>
    <w:link w:val="BodyText"/>
    <w:uiPriority w:val="99"/>
    <w:semiHidden/>
    <w:locked/>
    <w:rsid w:val="000A662A"/>
    <w:rPr>
      <w:rFonts w:cs="Times New Roman"/>
      <w:sz w:val="24"/>
      <w:szCs w:val="24"/>
    </w:rPr>
  </w:style>
  <w:style w:type="paragraph" w:customStyle="1" w:styleId="Ligning">
    <w:name w:val="Ligning"/>
    <w:basedOn w:val="Normal"/>
    <w:uiPriority w:val="99"/>
    <w:rsid w:val="00884933"/>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358516">
      <w:marLeft w:val="0"/>
      <w:marRight w:val="0"/>
      <w:marTop w:val="0"/>
      <w:marBottom w:val="0"/>
      <w:divBdr>
        <w:top w:val="none" w:sz="0" w:space="0" w:color="auto"/>
        <w:left w:val="none" w:sz="0" w:space="0" w:color="auto"/>
        <w:bottom w:val="none" w:sz="0" w:space="0" w:color="auto"/>
        <w:right w:val="none" w:sz="0" w:space="0" w:color="auto"/>
      </w:divBdr>
    </w:div>
    <w:div w:id="823358517">
      <w:marLeft w:val="0"/>
      <w:marRight w:val="0"/>
      <w:marTop w:val="0"/>
      <w:marBottom w:val="0"/>
      <w:divBdr>
        <w:top w:val="none" w:sz="0" w:space="0" w:color="auto"/>
        <w:left w:val="none" w:sz="0" w:space="0" w:color="auto"/>
        <w:bottom w:val="none" w:sz="0" w:space="0" w:color="auto"/>
        <w:right w:val="none" w:sz="0" w:space="0" w:color="auto"/>
      </w:divBdr>
    </w:div>
    <w:div w:id="823358518">
      <w:marLeft w:val="0"/>
      <w:marRight w:val="0"/>
      <w:marTop w:val="0"/>
      <w:marBottom w:val="0"/>
      <w:divBdr>
        <w:top w:val="none" w:sz="0" w:space="0" w:color="auto"/>
        <w:left w:val="none" w:sz="0" w:space="0" w:color="auto"/>
        <w:bottom w:val="none" w:sz="0" w:space="0" w:color="auto"/>
        <w:right w:val="none" w:sz="0" w:space="0" w:color="auto"/>
      </w:divBdr>
    </w:div>
    <w:div w:id="823358520">
      <w:marLeft w:val="0"/>
      <w:marRight w:val="0"/>
      <w:marTop w:val="0"/>
      <w:marBottom w:val="0"/>
      <w:divBdr>
        <w:top w:val="none" w:sz="0" w:space="0" w:color="auto"/>
        <w:left w:val="none" w:sz="0" w:space="0" w:color="auto"/>
        <w:bottom w:val="none" w:sz="0" w:space="0" w:color="auto"/>
        <w:right w:val="none" w:sz="0" w:space="0" w:color="auto"/>
      </w:divBdr>
    </w:div>
    <w:div w:id="823358521">
      <w:marLeft w:val="0"/>
      <w:marRight w:val="0"/>
      <w:marTop w:val="0"/>
      <w:marBottom w:val="0"/>
      <w:divBdr>
        <w:top w:val="none" w:sz="0" w:space="0" w:color="auto"/>
        <w:left w:val="none" w:sz="0" w:space="0" w:color="auto"/>
        <w:bottom w:val="none" w:sz="0" w:space="0" w:color="auto"/>
        <w:right w:val="none" w:sz="0" w:space="0" w:color="auto"/>
      </w:divBdr>
    </w:div>
    <w:div w:id="823358523">
      <w:marLeft w:val="0"/>
      <w:marRight w:val="0"/>
      <w:marTop w:val="0"/>
      <w:marBottom w:val="0"/>
      <w:divBdr>
        <w:top w:val="none" w:sz="0" w:space="0" w:color="auto"/>
        <w:left w:val="none" w:sz="0" w:space="0" w:color="auto"/>
        <w:bottom w:val="none" w:sz="0" w:space="0" w:color="auto"/>
        <w:right w:val="none" w:sz="0" w:space="0" w:color="auto"/>
      </w:divBdr>
    </w:div>
    <w:div w:id="823358526">
      <w:marLeft w:val="0"/>
      <w:marRight w:val="0"/>
      <w:marTop w:val="0"/>
      <w:marBottom w:val="0"/>
      <w:divBdr>
        <w:top w:val="none" w:sz="0" w:space="0" w:color="auto"/>
        <w:left w:val="none" w:sz="0" w:space="0" w:color="auto"/>
        <w:bottom w:val="none" w:sz="0" w:space="0" w:color="auto"/>
        <w:right w:val="none" w:sz="0" w:space="0" w:color="auto"/>
      </w:divBdr>
    </w:div>
    <w:div w:id="823358528">
      <w:marLeft w:val="0"/>
      <w:marRight w:val="0"/>
      <w:marTop w:val="0"/>
      <w:marBottom w:val="0"/>
      <w:divBdr>
        <w:top w:val="none" w:sz="0" w:space="0" w:color="auto"/>
        <w:left w:val="none" w:sz="0" w:space="0" w:color="auto"/>
        <w:bottom w:val="none" w:sz="0" w:space="0" w:color="auto"/>
        <w:right w:val="none" w:sz="0" w:space="0" w:color="auto"/>
      </w:divBdr>
      <w:divsChild>
        <w:div w:id="823358519">
          <w:marLeft w:val="0"/>
          <w:marRight w:val="0"/>
          <w:marTop w:val="0"/>
          <w:marBottom w:val="0"/>
          <w:divBdr>
            <w:top w:val="none" w:sz="0" w:space="0" w:color="auto"/>
            <w:left w:val="none" w:sz="0" w:space="0" w:color="auto"/>
            <w:bottom w:val="none" w:sz="0" w:space="0" w:color="auto"/>
            <w:right w:val="none" w:sz="0" w:space="0" w:color="auto"/>
          </w:divBdr>
          <w:divsChild>
            <w:div w:id="823358515">
              <w:marLeft w:val="0"/>
              <w:marRight w:val="0"/>
              <w:marTop w:val="0"/>
              <w:marBottom w:val="0"/>
              <w:divBdr>
                <w:top w:val="none" w:sz="0" w:space="0" w:color="auto"/>
                <w:left w:val="none" w:sz="0" w:space="0" w:color="auto"/>
                <w:bottom w:val="none" w:sz="0" w:space="0" w:color="auto"/>
                <w:right w:val="none" w:sz="0" w:space="0" w:color="auto"/>
              </w:divBdr>
            </w:div>
            <w:div w:id="8233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8529">
      <w:marLeft w:val="0"/>
      <w:marRight w:val="0"/>
      <w:marTop w:val="0"/>
      <w:marBottom w:val="0"/>
      <w:divBdr>
        <w:top w:val="none" w:sz="0" w:space="0" w:color="auto"/>
        <w:left w:val="none" w:sz="0" w:space="0" w:color="auto"/>
        <w:bottom w:val="none" w:sz="0" w:space="0" w:color="auto"/>
        <w:right w:val="none" w:sz="0" w:space="0" w:color="auto"/>
      </w:divBdr>
      <w:divsChild>
        <w:div w:id="823358541">
          <w:marLeft w:val="0"/>
          <w:marRight w:val="0"/>
          <w:marTop w:val="0"/>
          <w:marBottom w:val="0"/>
          <w:divBdr>
            <w:top w:val="none" w:sz="0" w:space="0" w:color="auto"/>
            <w:left w:val="none" w:sz="0" w:space="0" w:color="auto"/>
            <w:bottom w:val="none" w:sz="0" w:space="0" w:color="auto"/>
            <w:right w:val="none" w:sz="0" w:space="0" w:color="auto"/>
          </w:divBdr>
          <w:divsChild>
            <w:div w:id="823358542">
              <w:marLeft w:val="0"/>
              <w:marRight w:val="0"/>
              <w:marTop w:val="0"/>
              <w:marBottom w:val="0"/>
              <w:divBdr>
                <w:top w:val="none" w:sz="0" w:space="0" w:color="auto"/>
                <w:left w:val="none" w:sz="0" w:space="0" w:color="auto"/>
                <w:bottom w:val="none" w:sz="0" w:space="0" w:color="auto"/>
                <w:right w:val="none" w:sz="0" w:space="0" w:color="auto"/>
              </w:divBdr>
              <w:divsChild>
                <w:div w:id="823358524">
                  <w:marLeft w:val="0"/>
                  <w:marRight w:val="0"/>
                  <w:marTop w:val="0"/>
                  <w:marBottom w:val="0"/>
                  <w:divBdr>
                    <w:top w:val="none" w:sz="0" w:space="0" w:color="auto"/>
                    <w:left w:val="none" w:sz="0" w:space="0" w:color="auto"/>
                    <w:bottom w:val="none" w:sz="0" w:space="0" w:color="auto"/>
                    <w:right w:val="none" w:sz="0" w:space="0" w:color="auto"/>
                  </w:divBdr>
                  <w:divsChild>
                    <w:div w:id="8233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8545">
          <w:marLeft w:val="0"/>
          <w:marRight w:val="0"/>
          <w:marTop w:val="0"/>
          <w:marBottom w:val="0"/>
          <w:divBdr>
            <w:top w:val="none" w:sz="0" w:space="0" w:color="auto"/>
            <w:left w:val="none" w:sz="0" w:space="0" w:color="auto"/>
            <w:bottom w:val="none" w:sz="0" w:space="0" w:color="auto"/>
            <w:right w:val="none" w:sz="0" w:space="0" w:color="auto"/>
          </w:divBdr>
          <w:divsChild>
            <w:div w:id="823358525">
              <w:marLeft w:val="0"/>
              <w:marRight w:val="0"/>
              <w:marTop w:val="0"/>
              <w:marBottom w:val="0"/>
              <w:divBdr>
                <w:top w:val="none" w:sz="0" w:space="0" w:color="auto"/>
                <w:left w:val="none" w:sz="0" w:space="0" w:color="auto"/>
                <w:bottom w:val="none" w:sz="0" w:space="0" w:color="auto"/>
                <w:right w:val="none" w:sz="0" w:space="0" w:color="auto"/>
              </w:divBdr>
            </w:div>
            <w:div w:id="8233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8530">
      <w:marLeft w:val="0"/>
      <w:marRight w:val="0"/>
      <w:marTop w:val="0"/>
      <w:marBottom w:val="0"/>
      <w:divBdr>
        <w:top w:val="none" w:sz="0" w:space="0" w:color="auto"/>
        <w:left w:val="none" w:sz="0" w:space="0" w:color="auto"/>
        <w:bottom w:val="none" w:sz="0" w:space="0" w:color="auto"/>
        <w:right w:val="none" w:sz="0" w:space="0" w:color="auto"/>
      </w:divBdr>
    </w:div>
    <w:div w:id="823358531">
      <w:marLeft w:val="0"/>
      <w:marRight w:val="0"/>
      <w:marTop w:val="0"/>
      <w:marBottom w:val="0"/>
      <w:divBdr>
        <w:top w:val="none" w:sz="0" w:space="0" w:color="auto"/>
        <w:left w:val="none" w:sz="0" w:space="0" w:color="auto"/>
        <w:bottom w:val="none" w:sz="0" w:space="0" w:color="auto"/>
        <w:right w:val="none" w:sz="0" w:space="0" w:color="auto"/>
      </w:divBdr>
    </w:div>
    <w:div w:id="823358532">
      <w:marLeft w:val="0"/>
      <w:marRight w:val="0"/>
      <w:marTop w:val="0"/>
      <w:marBottom w:val="0"/>
      <w:divBdr>
        <w:top w:val="none" w:sz="0" w:space="0" w:color="auto"/>
        <w:left w:val="none" w:sz="0" w:space="0" w:color="auto"/>
        <w:bottom w:val="none" w:sz="0" w:space="0" w:color="auto"/>
        <w:right w:val="none" w:sz="0" w:space="0" w:color="auto"/>
      </w:divBdr>
    </w:div>
    <w:div w:id="823358533">
      <w:marLeft w:val="0"/>
      <w:marRight w:val="0"/>
      <w:marTop w:val="0"/>
      <w:marBottom w:val="0"/>
      <w:divBdr>
        <w:top w:val="none" w:sz="0" w:space="0" w:color="auto"/>
        <w:left w:val="none" w:sz="0" w:space="0" w:color="auto"/>
        <w:bottom w:val="none" w:sz="0" w:space="0" w:color="auto"/>
        <w:right w:val="none" w:sz="0" w:space="0" w:color="auto"/>
      </w:divBdr>
    </w:div>
    <w:div w:id="823358534">
      <w:marLeft w:val="0"/>
      <w:marRight w:val="0"/>
      <w:marTop w:val="0"/>
      <w:marBottom w:val="0"/>
      <w:divBdr>
        <w:top w:val="none" w:sz="0" w:space="0" w:color="auto"/>
        <w:left w:val="none" w:sz="0" w:space="0" w:color="auto"/>
        <w:bottom w:val="none" w:sz="0" w:space="0" w:color="auto"/>
        <w:right w:val="none" w:sz="0" w:space="0" w:color="auto"/>
      </w:divBdr>
    </w:div>
    <w:div w:id="823358535">
      <w:marLeft w:val="0"/>
      <w:marRight w:val="0"/>
      <w:marTop w:val="0"/>
      <w:marBottom w:val="0"/>
      <w:divBdr>
        <w:top w:val="none" w:sz="0" w:space="0" w:color="auto"/>
        <w:left w:val="none" w:sz="0" w:space="0" w:color="auto"/>
        <w:bottom w:val="none" w:sz="0" w:space="0" w:color="auto"/>
        <w:right w:val="none" w:sz="0" w:space="0" w:color="auto"/>
      </w:divBdr>
    </w:div>
    <w:div w:id="823358536">
      <w:marLeft w:val="0"/>
      <w:marRight w:val="0"/>
      <w:marTop w:val="0"/>
      <w:marBottom w:val="0"/>
      <w:divBdr>
        <w:top w:val="none" w:sz="0" w:space="0" w:color="auto"/>
        <w:left w:val="none" w:sz="0" w:space="0" w:color="auto"/>
        <w:bottom w:val="none" w:sz="0" w:space="0" w:color="auto"/>
        <w:right w:val="none" w:sz="0" w:space="0" w:color="auto"/>
      </w:divBdr>
    </w:div>
    <w:div w:id="823358537">
      <w:marLeft w:val="0"/>
      <w:marRight w:val="0"/>
      <w:marTop w:val="0"/>
      <w:marBottom w:val="0"/>
      <w:divBdr>
        <w:top w:val="none" w:sz="0" w:space="0" w:color="auto"/>
        <w:left w:val="none" w:sz="0" w:space="0" w:color="auto"/>
        <w:bottom w:val="none" w:sz="0" w:space="0" w:color="auto"/>
        <w:right w:val="none" w:sz="0" w:space="0" w:color="auto"/>
      </w:divBdr>
    </w:div>
    <w:div w:id="823358538">
      <w:marLeft w:val="0"/>
      <w:marRight w:val="0"/>
      <w:marTop w:val="0"/>
      <w:marBottom w:val="0"/>
      <w:divBdr>
        <w:top w:val="none" w:sz="0" w:space="0" w:color="auto"/>
        <w:left w:val="none" w:sz="0" w:space="0" w:color="auto"/>
        <w:bottom w:val="none" w:sz="0" w:space="0" w:color="auto"/>
        <w:right w:val="none" w:sz="0" w:space="0" w:color="auto"/>
      </w:divBdr>
    </w:div>
    <w:div w:id="823358540">
      <w:marLeft w:val="0"/>
      <w:marRight w:val="0"/>
      <w:marTop w:val="0"/>
      <w:marBottom w:val="0"/>
      <w:divBdr>
        <w:top w:val="none" w:sz="0" w:space="0" w:color="auto"/>
        <w:left w:val="none" w:sz="0" w:space="0" w:color="auto"/>
        <w:bottom w:val="none" w:sz="0" w:space="0" w:color="auto"/>
        <w:right w:val="none" w:sz="0" w:space="0" w:color="auto"/>
      </w:divBdr>
    </w:div>
    <w:div w:id="823358543">
      <w:marLeft w:val="0"/>
      <w:marRight w:val="0"/>
      <w:marTop w:val="0"/>
      <w:marBottom w:val="0"/>
      <w:divBdr>
        <w:top w:val="none" w:sz="0" w:space="0" w:color="auto"/>
        <w:left w:val="none" w:sz="0" w:space="0" w:color="auto"/>
        <w:bottom w:val="none" w:sz="0" w:space="0" w:color="auto"/>
        <w:right w:val="none" w:sz="0" w:space="0" w:color="auto"/>
      </w:divBdr>
    </w:div>
    <w:div w:id="823358544">
      <w:marLeft w:val="0"/>
      <w:marRight w:val="0"/>
      <w:marTop w:val="0"/>
      <w:marBottom w:val="0"/>
      <w:divBdr>
        <w:top w:val="none" w:sz="0" w:space="0" w:color="auto"/>
        <w:left w:val="none" w:sz="0" w:space="0" w:color="auto"/>
        <w:bottom w:val="none" w:sz="0" w:space="0" w:color="auto"/>
        <w:right w:val="none" w:sz="0" w:space="0" w:color="auto"/>
      </w:divBdr>
    </w:div>
    <w:div w:id="823358546">
      <w:marLeft w:val="0"/>
      <w:marRight w:val="0"/>
      <w:marTop w:val="0"/>
      <w:marBottom w:val="0"/>
      <w:divBdr>
        <w:top w:val="none" w:sz="0" w:space="0" w:color="auto"/>
        <w:left w:val="none" w:sz="0" w:space="0" w:color="auto"/>
        <w:bottom w:val="none" w:sz="0" w:space="0" w:color="auto"/>
        <w:right w:val="none" w:sz="0" w:space="0" w:color="auto"/>
      </w:divBdr>
    </w:div>
    <w:div w:id="823358547">
      <w:marLeft w:val="0"/>
      <w:marRight w:val="0"/>
      <w:marTop w:val="0"/>
      <w:marBottom w:val="0"/>
      <w:divBdr>
        <w:top w:val="none" w:sz="0" w:space="0" w:color="auto"/>
        <w:left w:val="none" w:sz="0" w:space="0" w:color="auto"/>
        <w:bottom w:val="none" w:sz="0" w:space="0" w:color="auto"/>
        <w:right w:val="none" w:sz="0" w:space="0" w:color="auto"/>
      </w:divBdr>
    </w:div>
    <w:div w:id="823358548">
      <w:marLeft w:val="0"/>
      <w:marRight w:val="0"/>
      <w:marTop w:val="0"/>
      <w:marBottom w:val="0"/>
      <w:divBdr>
        <w:top w:val="none" w:sz="0" w:space="0" w:color="auto"/>
        <w:left w:val="none" w:sz="0" w:space="0" w:color="auto"/>
        <w:bottom w:val="none" w:sz="0" w:space="0" w:color="auto"/>
        <w:right w:val="none" w:sz="0" w:space="0" w:color="auto"/>
      </w:divBdr>
    </w:div>
    <w:div w:id="823358549">
      <w:marLeft w:val="0"/>
      <w:marRight w:val="0"/>
      <w:marTop w:val="0"/>
      <w:marBottom w:val="0"/>
      <w:divBdr>
        <w:top w:val="none" w:sz="0" w:space="0" w:color="auto"/>
        <w:left w:val="none" w:sz="0" w:space="0" w:color="auto"/>
        <w:bottom w:val="none" w:sz="0" w:space="0" w:color="auto"/>
        <w:right w:val="none" w:sz="0" w:space="0" w:color="auto"/>
      </w:divBdr>
    </w:div>
    <w:div w:id="823358550">
      <w:marLeft w:val="0"/>
      <w:marRight w:val="0"/>
      <w:marTop w:val="0"/>
      <w:marBottom w:val="0"/>
      <w:divBdr>
        <w:top w:val="none" w:sz="0" w:space="0" w:color="auto"/>
        <w:left w:val="none" w:sz="0" w:space="0" w:color="auto"/>
        <w:bottom w:val="none" w:sz="0" w:space="0" w:color="auto"/>
        <w:right w:val="none" w:sz="0" w:space="0" w:color="auto"/>
      </w:divBdr>
    </w:div>
    <w:div w:id="823358551">
      <w:marLeft w:val="0"/>
      <w:marRight w:val="0"/>
      <w:marTop w:val="0"/>
      <w:marBottom w:val="0"/>
      <w:divBdr>
        <w:top w:val="none" w:sz="0" w:space="0" w:color="auto"/>
        <w:left w:val="none" w:sz="0" w:space="0" w:color="auto"/>
        <w:bottom w:val="none" w:sz="0" w:space="0" w:color="auto"/>
        <w:right w:val="none" w:sz="0" w:space="0" w:color="auto"/>
      </w:divBdr>
    </w:div>
    <w:div w:id="823358552">
      <w:marLeft w:val="0"/>
      <w:marRight w:val="0"/>
      <w:marTop w:val="0"/>
      <w:marBottom w:val="0"/>
      <w:divBdr>
        <w:top w:val="none" w:sz="0" w:space="0" w:color="auto"/>
        <w:left w:val="none" w:sz="0" w:space="0" w:color="auto"/>
        <w:bottom w:val="none" w:sz="0" w:space="0" w:color="auto"/>
        <w:right w:val="none" w:sz="0" w:space="0" w:color="auto"/>
      </w:divBdr>
    </w:div>
    <w:div w:id="823358553">
      <w:marLeft w:val="0"/>
      <w:marRight w:val="0"/>
      <w:marTop w:val="0"/>
      <w:marBottom w:val="0"/>
      <w:divBdr>
        <w:top w:val="none" w:sz="0" w:space="0" w:color="auto"/>
        <w:left w:val="none" w:sz="0" w:space="0" w:color="auto"/>
        <w:bottom w:val="none" w:sz="0" w:space="0" w:color="auto"/>
        <w:right w:val="none" w:sz="0" w:space="0" w:color="auto"/>
      </w:divBdr>
    </w:div>
    <w:div w:id="823358554">
      <w:marLeft w:val="0"/>
      <w:marRight w:val="0"/>
      <w:marTop w:val="0"/>
      <w:marBottom w:val="0"/>
      <w:divBdr>
        <w:top w:val="none" w:sz="0" w:space="0" w:color="auto"/>
        <w:left w:val="none" w:sz="0" w:space="0" w:color="auto"/>
        <w:bottom w:val="none" w:sz="0" w:space="0" w:color="auto"/>
        <w:right w:val="none" w:sz="0" w:space="0" w:color="auto"/>
      </w:divBdr>
    </w:div>
    <w:div w:id="823358555">
      <w:marLeft w:val="0"/>
      <w:marRight w:val="0"/>
      <w:marTop w:val="0"/>
      <w:marBottom w:val="0"/>
      <w:divBdr>
        <w:top w:val="none" w:sz="0" w:space="0" w:color="auto"/>
        <w:left w:val="none" w:sz="0" w:space="0" w:color="auto"/>
        <w:bottom w:val="none" w:sz="0" w:space="0" w:color="auto"/>
        <w:right w:val="none" w:sz="0" w:space="0" w:color="auto"/>
      </w:divBdr>
    </w:div>
    <w:div w:id="823358556">
      <w:marLeft w:val="0"/>
      <w:marRight w:val="0"/>
      <w:marTop w:val="0"/>
      <w:marBottom w:val="0"/>
      <w:divBdr>
        <w:top w:val="none" w:sz="0" w:space="0" w:color="auto"/>
        <w:left w:val="none" w:sz="0" w:space="0" w:color="auto"/>
        <w:bottom w:val="none" w:sz="0" w:space="0" w:color="auto"/>
        <w:right w:val="none" w:sz="0" w:space="0" w:color="auto"/>
      </w:divBdr>
    </w:div>
    <w:div w:id="823358643">
      <w:marLeft w:val="0"/>
      <w:marRight w:val="0"/>
      <w:marTop w:val="0"/>
      <w:marBottom w:val="0"/>
      <w:divBdr>
        <w:top w:val="none" w:sz="0" w:space="0" w:color="auto"/>
        <w:left w:val="none" w:sz="0" w:space="0" w:color="auto"/>
        <w:bottom w:val="none" w:sz="0" w:space="0" w:color="auto"/>
        <w:right w:val="none" w:sz="0" w:space="0" w:color="auto"/>
      </w:divBdr>
      <w:divsChild>
        <w:div w:id="823358586">
          <w:marLeft w:val="0"/>
          <w:marRight w:val="0"/>
          <w:marTop w:val="0"/>
          <w:marBottom w:val="0"/>
          <w:divBdr>
            <w:top w:val="none" w:sz="0" w:space="0" w:color="auto"/>
            <w:left w:val="none" w:sz="0" w:space="0" w:color="auto"/>
            <w:bottom w:val="none" w:sz="0" w:space="0" w:color="auto"/>
            <w:right w:val="none" w:sz="0" w:space="0" w:color="auto"/>
          </w:divBdr>
          <w:divsChild>
            <w:div w:id="823358572">
              <w:marLeft w:val="0"/>
              <w:marRight w:val="0"/>
              <w:marTop w:val="0"/>
              <w:marBottom w:val="0"/>
              <w:divBdr>
                <w:top w:val="none" w:sz="0" w:space="0" w:color="auto"/>
                <w:left w:val="none" w:sz="0" w:space="0" w:color="auto"/>
                <w:bottom w:val="none" w:sz="0" w:space="0" w:color="auto"/>
                <w:right w:val="none" w:sz="0" w:space="0" w:color="auto"/>
              </w:divBdr>
              <w:divsChild>
                <w:div w:id="823358578">
                  <w:marLeft w:val="0"/>
                  <w:marRight w:val="0"/>
                  <w:marTop w:val="0"/>
                  <w:marBottom w:val="0"/>
                  <w:divBdr>
                    <w:top w:val="none" w:sz="0" w:space="0" w:color="auto"/>
                    <w:left w:val="none" w:sz="0" w:space="0" w:color="auto"/>
                    <w:bottom w:val="none" w:sz="0" w:space="0" w:color="auto"/>
                    <w:right w:val="none" w:sz="0" w:space="0" w:color="auto"/>
                  </w:divBdr>
                  <w:divsChild>
                    <w:div w:id="823358631">
                      <w:marLeft w:val="0"/>
                      <w:marRight w:val="0"/>
                      <w:marTop w:val="0"/>
                      <w:marBottom w:val="0"/>
                      <w:divBdr>
                        <w:top w:val="none" w:sz="0" w:space="0" w:color="auto"/>
                        <w:left w:val="none" w:sz="0" w:space="0" w:color="auto"/>
                        <w:bottom w:val="none" w:sz="0" w:space="0" w:color="auto"/>
                        <w:right w:val="none" w:sz="0" w:space="0" w:color="auto"/>
                      </w:divBdr>
                      <w:divsChild>
                        <w:div w:id="823358662">
                          <w:marLeft w:val="0"/>
                          <w:marRight w:val="0"/>
                          <w:marTop w:val="0"/>
                          <w:marBottom w:val="0"/>
                          <w:divBdr>
                            <w:top w:val="none" w:sz="0" w:space="0" w:color="auto"/>
                            <w:left w:val="none" w:sz="0" w:space="0" w:color="auto"/>
                            <w:bottom w:val="none" w:sz="0" w:space="0" w:color="auto"/>
                            <w:right w:val="none" w:sz="0" w:space="0" w:color="auto"/>
                          </w:divBdr>
                          <w:divsChild>
                            <w:div w:id="823358561">
                              <w:marLeft w:val="0"/>
                              <w:marRight w:val="0"/>
                              <w:marTop w:val="0"/>
                              <w:marBottom w:val="0"/>
                              <w:divBdr>
                                <w:top w:val="none" w:sz="0" w:space="0" w:color="auto"/>
                                <w:left w:val="none" w:sz="0" w:space="0" w:color="auto"/>
                                <w:bottom w:val="none" w:sz="0" w:space="0" w:color="auto"/>
                                <w:right w:val="none" w:sz="0" w:space="0" w:color="auto"/>
                              </w:divBdr>
                            </w:div>
                            <w:div w:id="823358568">
                              <w:marLeft w:val="0"/>
                              <w:marRight w:val="0"/>
                              <w:marTop w:val="0"/>
                              <w:marBottom w:val="0"/>
                              <w:divBdr>
                                <w:top w:val="none" w:sz="0" w:space="0" w:color="auto"/>
                                <w:left w:val="none" w:sz="0" w:space="0" w:color="auto"/>
                                <w:bottom w:val="none" w:sz="0" w:space="0" w:color="auto"/>
                                <w:right w:val="none" w:sz="0" w:space="0" w:color="auto"/>
                              </w:divBdr>
                            </w:div>
                            <w:div w:id="823358628">
                              <w:marLeft w:val="0"/>
                              <w:marRight w:val="0"/>
                              <w:marTop w:val="0"/>
                              <w:marBottom w:val="0"/>
                              <w:divBdr>
                                <w:top w:val="none" w:sz="0" w:space="0" w:color="auto"/>
                                <w:left w:val="none" w:sz="0" w:space="0" w:color="auto"/>
                                <w:bottom w:val="none" w:sz="0" w:space="0" w:color="auto"/>
                                <w:right w:val="none" w:sz="0" w:space="0" w:color="auto"/>
                              </w:divBdr>
                            </w:div>
                            <w:div w:id="823358672">
                              <w:marLeft w:val="0"/>
                              <w:marRight w:val="0"/>
                              <w:marTop w:val="0"/>
                              <w:marBottom w:val="0"/>
                              <w:divBdr>
                                <w:top w:val="none" w:sz="0" w:space="0" w:color="auto"/>
                                <w:left w:val="none" w:sz="0" w:space="0" w:color="auto"/>
                                <w:bottom w:val="none" w:sz="0" w:space="0" w:color="auto"/>
                                <w:right w:val="none" w:sz="0" w:space="0" w:color="auto"/>
                              </w:divBdr>
                            </w:div>
                            <w:div w:id="823358673">
                              <w:marLeft w:val="0"/>
                              <w:marRight w:val="0"/>
                              <w:marTop w:val="0"/>
                              <w:marBottom w:val="0"/>
                              <w:divBdr>
                                <w:top w:val="none" w:sz="0" w:space="0" w:color="auto"/>
                                <w:left w:val="none" w:sz="0" w:space="0" w:color="auto"/>
                                <w:bottom w:val="none" w:sz="0" w:space="0" w:color="auto"/>
                                <w:right w:val="none" w:sz="0" w:space="0" w:color="auto"/>
                              </w:divBdr>
                            </w:div>
                            <w:div w:id="823358678">
                              <w:marLeft w:val="0"/>
                              <w:marRight w:val="0"/>
                              <w:marTop w:val="0"/>
                              <w:marBottom w:val="0"/>
                              <w:divBdr>
                                <w:top w:val="none" w:sz="0" w:space="0" w:color="auto"/>
                                <w:left w:val="none" w:sz="0" w:space="0" w:color="auto"/>
                                <w:bottom w:val="none" w:sz="0" w:space="0" w:color="auto"/>
                                <w:right w:val="none" w:sz="0" w:space="0" w:color="auto"/>
                              </w:divBdr>
                            </w:div>
                            <w:div w:id="823358685">
                              <w:marLeft w:val="0"/>
                              <w:marRight w:val="0"/>
                              <w:marTop w:val="0"/>
                              <w:marBottom w:val="0"/>
                              <w:divBdr>
                                <w:top w:val="none" w:sz="0" w:space="0" w:color="auto"/>
                                <w:left w:val="none" w:sz="0" w:space="0" w:color="auto"/>
                                <w:bottom w:val="none" w:sz="0" w:space="0" w:color="auto"/>
                                <w:right w:val="none" w:sz="0" w:space="0" w:color="auto"/>
                              </w:divBdr>
                              <w:divsChild>
                                <w:div w:id="823358664">
                                  <w:marLeft w:val="0"/>
                                  <w:marRight w:val="0"/>
                                  <w:marTop w:val="0"/>
                                  <w:marBottom w:val="0"/>
                                  <w:divBdr>
                                    <w:top w:val="none" w:sz="0" w:space="0" w:color="auto"/>
                                    <w:left w:val="none" w:sz="0" w:space="0" w:color="auto"/>
                                    <w:bottom w:val="none" w:sz="0" w:space="0" w:color="auto"/>
                                    <w:right w:val="none" w:sz="0" w:space="0" w:color="auto"/>
                                  </w:divBdr>
                                  <w:divsChild>
                                    <w:div w:id="823358665">
                                      <w:marLeft w:val="0"/>
                                      <w:marRight w:val="0"/>
                                      <w:marTop w:val="0"/>
                                      <w:marBottom w:val="0"/>
                                      <w:divBdr>
                                        <w:top w:val="none" w:sz="0" w:space="0" w:color="auto"/>
                                        <w:left w:val="none" w:sz="0" w:space="0" w:color="auto"/>
                                        <w:bottom w:val="none" w:sz="0" w:space="0" w:color="auto"/>
                                        <w:right w:val="none" w:sz="0" w:space="0" w:color="auto"/>
                                      </w:divBdr>
                                      <w:divsChild>
                                        <w:div w:id="823358615">
                                          <w:marLeft w:val="0"/>
                                          <w:marRight w:val="0"/>
                                          <w:marTop w:val="0"/>
                                          <w:marBottom w:val="0"/>
                                          <w:divBdr>
                                            <w:top w:val="none" w:sz="0" w:space="0" w:color="auto"/>
                                            <w:left w:val="none" w:sz="0" w:space="0" w:color="auto"/>
                                            <w:bottom w:val="none" w:sz="0" w:space="0" w:color="auto"/>
                                            <w:right w:val="none" w:sz="0" w:space="0" w:color="auto"/>
                                          </w:divBdr>
                                        </w:div>
                                        <w:div w:id="823358636">
                                          <w:marLeft w:val="0"/>
                                          <w:marRight w:val="0"/>
                                          <w:marTop w:val="0"/>
                                          <w:marBottom w:val="0"/>
                                          <w:divBdr>
                                            <w:top w:val="none" w:sz="0" w:space="0" w:color="auto"/>
                                            <w:left w:val="none" w:sz="0" w:space="0" w:color="auto"/>
                                            <w:bottom w:val="none" w:sz="0" w:space="0" w:color="auto"/>
                                            <w:right w:val="none" w:sz="0" w:space="0" w:color="auto"/>
                                          </w:divBdr>
                                        </w:div>
                                        <w:div w:id="823358646">
                                          <w:marLeft w:val="0"/>
                                          <w:marRight w:val="0"/>
                                          <w:marTop w:val="0"/>
                                          <w:marBottom w:val="0"/>
                                          <w:divBdr>
                                            <w:top w:val="none" w:sz="0" w:space="0" w:color="auto"/>
                                            <w:left w:val="none" w:sz="0" w:space="0" w:color="auto"/>
                                            <w:bottom w:val="none" w:sz="0" w:space="0" w:color="auto"/>
                                            <w:right w:val="none" w:sz="0" w:space="0" w:color="auto"/>
                                          </w:divBdr>
                                        </w:div>
                                        <w:div w:id="823358648">
                                          <w:marLeft w:val="0"/>
                                          <w:marRight w:val="0"/>
                                          <w:marTop w:val="0"/>
                                          <w:marBottom w:val="0"/>
                                          <w:divBdr>
                                            <w:top w:val="none" w:sz="0" w:space="0" w:color="auto"/>
                                            <w:left w:val="none" w:sz="0" w:space="0" w:color="auto"/>
                                            <w:bottom w:val="none" w:sz="0" w:space="0" w:color="auto"/>
                                            <w:right w:val="none" w:sz="0" w:space="0" w:color="auto"/>
                                          </w:divBdr>
                                          <w:divsChild>
                                            <w:div w:id="823358624">
                                              <w:marLeft w:val="0"/>
                                              <w:marRight w:val="0"/>
                                              <w:marTop w:val="0"/>
                                              <w:marBottom w:val="0"/>
                                              <w:divBdr>
                                                <w:top w:val="none" w:sz="0" w:space="0" w:color="auto"/>
                                                <w:left w:val="none" w:sz="0" w:space="0" w:color="auto"/>
                                                <w:bottom w:val="none" w:sz="0" w:space="0" w:color="auto"/>
                                                <w:right w:val="none" w:sz="0" w:space="0" w:color="auto"/>
                                              </w:divBdr>
                                              <w:divsChild>
                                                <w:div w:id="823358625">
                                                  <w:marLeft w:val="0"/>
                                                  <w:marRight w:val="0"/>
                                                  <w:marTop w:val="0"/>
                                                  <w:marBottom w:val="0"/>
                                                  <w:divBdr>
                                                    <w:top w:val="none" w:sz="0" w:space="0" w:color="auto"/>
                                                    <w:left w:val="none" w:sz="0" w:space="0" w:color="auto"/>
                                                    <w:bottom w:val="none" w:sz="0" w:space="0" w:color="auto"/>
                                                    <w:right w:val="none" w:sz="0" w:space="0" w:color="auto"/>
                                                  </w:divBdr>
                                                  <w:divsChild>
                                                    <w:div w:id="823358514">
                                                      <w:marLeft w:val="0"/>
                                                      <w:marRight w:val="0"/>
                                                      <w:marTop w:val="0"/>
                                                      <w:marBottom w:val="0"/>
                                                      <w:divBdr>
                                                        <w:top w:val="none" w:sz="0" w:space="0" w:color="auto"/>
                                                        <w:left w:val="none" w:sz="0" w:space="0" w:color="auto"/>
                                                        <w:bottom w:val="none" w:sz="0" w:space="0" w:color="auto"/>
                                                        <w:right w:val="none" w:sz="0" w:space="0" w:color="auto"/>
                                                      </w:divBdr>
                                                      <w:divsChild>
                                                        <w:div w:id="823358738">
                                                          <w:marLeft w:val="0"/>
                                                          <w:marRight w:val="0"/>
                                                          <w:marTop w:val="0"/>
                                                          <w:marBottom w:val="0"/>
                                                          <w:divBdr>
                                                            <w:top w:val="none" w:sz="0" w:space="0" w:color="auto"/>
                                                            <w:left w:val="none" w:sz="0" w:space="0" w:color="auto"/>
                                                            <w:bottom w:val="none" w:sz="0" w:space="0" w:color="auto"/>
                                                            <w:right w:val="none" w:sz="0" w:space="0" w:color="auto"/>
                                                          </w:divBdr>
                                                          <w:divsChild>
                                                            <w:div w:id="823358641">
                                                              <w:marLeft w:val="0"/>
                                                              <w:marRight w:val="0"/>
                                                              <w:marTop w:val="0"/>
                                                              <w:marBottom w:val="0"/>
                                                              <w:divBdr>
                                                                <w:top w:val="none" w:sz="0" w:space="0" w:color="auto"/>
                                                                <w:left w:val="none" w:sz="0" w:space="0" w:color="auto"/>
                                                                <w:bottom w:val="none" w:sz="0" w:space="0" w:color="auto"/>
                                                                <w:right w:val="none" w:sz="0" w:space="0" w:color="auto"/>
                                                              </w:divBdr>
                                                              <w:divsChild>
                                                                <w:div w:id="823358585">
                                                                  <w:marLeft w:val="0"/>
                                                                  <w:marRight w:val="0"/>
                                                                  <w:marTop w:val="0"/>
                                                                  <w:marBottom w:val="0"/>
                                                                  <w:divBdr>
                                                                    <w:top w:val="none" w:sz="0" w:space="0" w:color="auto"/>
                                                                    <w:left w:val="none" w:sz="0" w:space="0" w:color="auto"/>
                                                                    <w:bottom w:val="none" w:sz="0" w:space="0" w:color="auto"/>
                                                                    <w:right w:val="none" w:sz="0" w:space="0" w:color="auto"/>
                                                                  </w:divBdr>
                                                                </w:div>
                                                                <w:div w:id="823358591">
                                                                  <w:marLeft w:val="0"/>
                                                                  <w:marRight w:val="0"/>
                                                                  <w:marTop w:val="0"/>
                                                                  <w:marBottom w:val="0"/>
                                                                  <w:divBdr>
                                                                    <w:top w:val="none" w:sz="0" w:space="0" w:color="auto"/>
                                                                    <w:left w:val="none" w:sz="0" w:space="0" w:color="auto"/>
                                                                    <w:bottom w:val="none" w:sz="0" w:space="0" w:color="auto"/>
                                                                    <w:right w:val="none" w:sz="0" w:space="0" w:color="auto"/>
                                                                  </w:divBdr>
                                                                  <w:divsChild>
                                                                    <w:div w:id="823358627">
                                                                      <w:marLeft w:val="0"/>
                                                                      <w:marRight w:val="0"/>
                                                                      <w:marTop w:val="0"/>
                                                                      <w:marBottom w:val="0"/>
                                                                      <w:divBdr>
                                                                        <w:top w:val="none" w:sz="0" w:space="0" w:color="auto"/>
                                                                        <w:left w:val="none" w:sz="0" w:space="0" w:color="auto"/>
                                                                        <w:bottom w:val="none" w:sz="0" w:space="0" w:color="auto"/>
                                                                        <w:right w:val="none" w:sz="0" w:space="0" w:color="auto"/>
                                                                      </w:divBdr>
                                                                      <w:divsChild>
                                                                        <w:div w:id="823358588">
                                                                          <w:marLeft w:val="0"/>
                                                                          <w:marRight w:val="0"/>
                                                                          <w:marTop w:val="0"/>
                                                                          <w:marBottom w:val="0"/>
                                                                          <w:divBdr>
                                                                            <w:top w:val="none" w:sz="0" w:space="0" w:color="auto"/>
                                                                            <w:left w:val="none" w:sz="0" w:space="0" w:color="auto"/>
                                                                            <w:bottom w:val="none" w:sz="0" w:space="0" w:color="auto"/>
                                                                            <w:right w:val="none" w:sz="0" w:space="0" w:color="auto"/>
                                                                          </w:divBdr>
                                                                          <w:divsChild>
                                                                            <w:div w:id="823358564">
                                                                              <w:marLeft w:val="0"/>
                                                                              <w:marRight w:val="0"/>
                                                                              <w:marTop w:val="0"/>
                                                                              <w:marBottom w:val="0"/>
                                                                              <w:divBdr>
                                                                                <w:top w:val="none" w:sz="0" w:space="0" w:color="auto"/>
                                                                                <w:left w:val="none" w:sz="0" w:space="0" w:color="auto"/>
                                                                                <w:bottom w:val="none" w:sz="0" w:space="0" w:color="auto"/>
                                                                                <w:right w:val="none" w:sz="0" w:space="0" w:color="auto"/>
                                                                              </w:divBdr>
                                                                            </w:div>
                                                                            <w:div w:id="823358566">
                                                                              <w:marLeft w:val="0"/>
                                                                              <w:marRight w:val="0"/>
                                                                              <w:marTop w:val="0"/>
                                                                              <w:marBottom w:val="0"/>
                                                                              <w:divBdr>
                                                                                <w:top w:val="none" w:sz="0" w:space="0" w:color="auto"/>
                                                                                <w:left w:val="none" w:sz="0" w:space="0" w:color="auto"/>
                                                                                <w:bottom w:val="none" w:sz="0" w:space="0" w:color="auto"/>
                                                                                <w:right w:val="none" w:sz="0" w:space="0" w:color="auto"/>
                                                                              </w:divBdr>
                                                                            </w:div>
                                                                            <w:div w:id="823358567">
                                                                              <w:marLeft w:val="0"/>
                                                                              <w:marRight w:val="0"/>
                                                                              <w:marTop w:val="0"/>
                                                                              <w:marBottom w:val="0"/>
                                                                              <w:divBdr>
                                                                                <w:top w:val="none" w:sz="0" w:space="0" w:color="auto"/>
                                                                                <w:left w:val="none" w:sz="0" w:space="0" w:color="auto"/>
                                                                                <w:bottom w:val="none" w:sz="0" w:space="0" w:color="auto"/>
                                                                                <w:right w:val="none" w:sz="0" w:space="0" w:color="auto"/>
                                                                              </w:divBdr>
                                                                            </w:div>
                                                                            <w:div w:id="823358580">
                                                                              <w:marLeft w:val="0"/>
                                                                              <w:marRight w:val="0"/>
                                                                              <w:marTop w:val="0"/>
                                                                              <w:marBottom w:val="0"/>
                                                                              <w:divBdr>
                                                                                <w:top w:val="none" w:sz="0" w:space="0" w:color="auto"/>
                                                                                <w:left w:val="none" w:sz="0" w:space="0" w:color="auto"/>
                                                                                <w:bottom w:val="none" w:sz="0" w:space="0" w:color="auto"/>
                                                                                <w:right w:val="none" w:sz="0" w:space="0" w:color="auto"/>
                                                                              </w:divBdr>
                                                                            </w:div>
                                                                            <w:div w:id="823358584">
                                                                              <w:marLeft w:val="0"/>
                                                                              <w:marRight w:val="0"/>
                                                                              <w:marTop w:val="0"/>
                                                                              <w:marBottom w:val="0"/>
                                                                              <w:divBdr>
                                                                                <w:top w:val="none" w:sz="0" w:space="0" w:color="auto"/>
                                                                                <w:left w:val="none" w:sz="0" w:space="0" w:color="auto"/>
                                                                                <w:bottom w:val="none" w:sz="0" w:space="0" w:color="auto"/>
                                                                                <w:right w:val="none" w:sz="0" w:space="0" w:color="auto"/>
                                                                              </w:divBdr>
                                                                              <w:divsChild>
                                                                                <w:div w:id="823358653">
                                                                                  <w:marLeft w:val="0"/>
                                                                                  <w:marRight w:val="0"/>
                                                                                  <w:marTop w:val="0"/>
                                                                                  <w:marBottom w:val="0"/>
                                                                                  <w:divBdr>
                                                                                    <w:top w:val="none" w:sz="0" w:space="0" w:color="auto"/>
                                                                                    <w:left w:val="none" w:sz="0" w:space="0" w:color="auto"/>
                                                                                    <w:bottom w:val="none" w:sz="0" w:space="0" w:color="auto"/>
                                                                                    <w:right w:val="none" w:sz="0" w:space="0" w:color="auto"/>
                                                                                  </w:divBdr>
                                                                                  <w:divsChild>
                                                                                    <w:div w:id="823358594">
                                                                                      <w:marLeft w:val="0"/>
                                                                                      <w:marRight w:val="0"/>
                                                                                      <w:marTop w:val="0"/>
                                                                                      <w:marBottom w:val="0"/>
                                                                                      <w:divBdr>
                                                                                        <w:top w:val="none" w:sz="0" w:space="0" w:color="auto"/>
                                                                                        <w:left w:val="none" w:sz="0" w:space="0" w:color="auto"/>
                                                                                        <w:bottom w:val="none" w:sz="0" w:space="0" w:color="auto"/>
                                                                                        <w:right w:val="none" w:sz="0" w:space="0" w:color="auto"/>
                                                                                      </w:divBdr>
                                                                                      <w:divsChild>
                                                                                        <w:div w:id="823358512">
                                                                                          <w:marLeft w:val="0"/>
                                                                                          <w:marRight w:val="0"/>
                                                                                          <w:marTop w:val="0"/>
                                                                                          <w:marBottom w:val="0"/>
                                                                                          <w:divBdr>
                                                                                            <w:top w:val="none" w:sz="0" w:space="0" w:color="auto"/>
                                                                                            <w:left w:val="none" w:sz="0" w:space="0" w:color="auto"/>
                                                                                            <w:bottom w:val="none" w:sz="0" w:space="0" w:color="auto"/>
                                                                                            <w:right w:val="none" w:sz="0" w:space="0" w:color="auto"/>
                                                                                          </w:divBdr>
                                                                                        </w:div>
                                                                                        <w:div w:id="823358513">
                                                                                          <w:marLeft w:val="0"/>
                                                                                          <w:marRight w:val="0"/>
                                                                                          <w:marTop w:val="0"/>
                                                                                          <w:marBottom w:val="0"/>
                                                                                          <w:divBdr>
                                                                                            <w:top w:val="none" w:sz="0" w:space="0" w:color="auto"/>
                                                                                            <w:left w:val="none" w:sz="0" w:space="0" w:color="auto"/>
                                                                                            <w:bottom w:val="none" w:sz="0" w:space="0" w:color="auto"/>
                                                                                            <w:right w:val="none" w:sz="0" w:space="0" w:color="auto"/>
                                                                                          </w:divBdr>
                                                                                        </w:div>
                                                                                        <w:div w:id="823358557">
                                                                                          <w:marLeft w:val="0"/>
                                                                                          <w:marRight w:val="0"/>
                                                                                          <w:marTop w:val="0"/>
                                                                                          <w:marBottom w:val="0"/>
                                                                                          <w:divBdr>
                                                                                            <w:top w:val="none" w:sz="0" w:space="0" w:color="auto"/>
                                                                                            <w:left w:val="none" w:sz="0" w:space="0" w:color="auto"/>
                                                                                            <w:bottom w:val="none" w:sz="0" w:space="0" w:color="auto"/>
                                                                                            <w:right w:val="none" w:sz="0" w:space="0" w:color="auto"/>
                                                                                          </w:divBdr>
                                                                                        </w:div>
                                                                                        <w:div w:id="823358558">
                                                                                          <w:marLeft w:val="0"/>
                                                                                          <w:marRight w:val="0"/>
                                                                                          <w:marTop w:val="0"/>
                                                                                          <w:marBottom w:val="0"/>
                                                                                          <w:divBdr>
                                                                                            <w:top w:val="none" w:sz="0" w:space="0" w:color="auto"/>
                                                                                            <w:left w:val="none" w:sz="0" w:space="0" w:color="auto"/>
                                                                                            <w:bottom w:val="none" w:sz="0" w:space="0" w:color="auto"/>
                                                                                            <w:right w:val="none" w:sz="0" w:space="0" w:color="auto"/>
                                                                                          </w:divBdr>
                                                                                        </w:div>
                                                                                        <w:div w:id="823358560">
                                                                                          <w:marLeft w:val="0"/>
                                                                                          <w:marRight w:val="0"/>
                                                                                          <w:marTop w:val="0"/>
                                                                                          <w:marBottom w:val="0"/>
                                                                                          <w:divBdr>
                                                                                            <w:top w:val="none" w:sz="0" w:space="0" w:color="auto"/>
                                                                                            <w:left w:val="none" w:sz="0" w:space="0" w:color="auto"/>
                                                                                            <w:bottom w:val="none" w:sz="0" w:space="0" w:color="auto"/>
                                                                                            <w:right w:val="none" w:sz="0" w:space="0" w:color="auto"/>
                                                                                          </w:divBdr>
                                                                                        </w:div>
                                                                                        <w:div w:id="823358562">
                                                                                          <w:marLeft w:val="0"/>
                                                                                          <w:marRight w:val="0"/>
                                                                                          <w:marTop w:val="0"/>
                                                                                          <w:marBottom w:val="0"/>
                                                                                          <w:divBdr>
                                                                                            <w:top w:val="none" w:sz="0" w:space="0" w:color="auto"/>
                                                                                            <w:left w:val="none" w:sz="0" w:space="0" w:color="auto"/>
                                                                                            <w:bottom w:val="none" w:sz="0" w:space="0" w:color="auto"/>
                                                                                            <w:right w:val="none" w:sz="0" w:space="0" w:color="auto"/>
                                                                                          </w:divBdr>
                                                                                        </w:div>
                                                                                        <w:div w:id="823358581">
                                                                                          <w:marLeft w:val="0"/>
                                                                                          <w:marRight w:val="0"/>
                                                                                          <w:marTop w:val="0"/>
                                                                                          <w:marBottom w:val="0"/>
                                                                                          <w:divBdr>
                                                                                            <w:top w:val="none" w:sz="0" w:space="0" w:color="auto"/>
                                                                                            <w:left w:val="none" w:sz="0" w:space="0" w:color="auto"/>
                                                                                            <w:bottom w:val="none" w:sz="0" w:space="0" w:color="auto"/>
                                                                                            <w:right w:val="none" w:sz="0" w:space="0" w:color="auto"/>
                                                                                          </w:divBdr>
                                                                                        </w:div>
                                                                                        <w:div w:id="823358589">
                                                                                          <w:marLeft w:val="0"/>
                                                                                          <w:marRight w:val="0"/>
                                                                                          <w:marTop w:val="0"/>
                                                                                          <w:marBottom w:val="0"/>
                                                                                          <w:divBdr>
                                                                                            <w:top w:val="none" w:sz="0" w:space="0" w:color="auto"/>
                                                                                            <w:left w:val="none" w:sz="0" w:space="0" w:color="auto"/>
                                                                                            <w:bottom w:val="none" w:sz="0" w:space="0" w:color="auto"/>
                                                                                            <w:right w:val="none" w:sz="0" w:space="0" w:color="auto"/>
                                                                                          </w:divBdr>
                                                                                        </w:div>
                                                                                        <w:div w:id="823358593">
                                                                                          <w:marLeft w:val="0"/>
                                                                                          <w:marRight w:val="0"/>
                                                                                          <w:marTop w:val="0"/>
                                                                                          <w:marBottom w:val="0"/>
                                                                                          <w:divBdr>
                                                                                            <w:top w:val="none" w:sz="0" w:space="0" w:color="auto"/>
                                                                                            <w:left w:val="none" w:sz="0" w:space="0" w:color="auto"/>
                                                                                            <w:bottom w:val="none" w:sz="0" w:space="0" w:color="auto"/>
                                                                                            <w:right w:val="none" w:sz="0" w:space="0" w:color="auto"/>
                                                                                          </w:divBdr>
                                                                                        </w:div>
                                                                                        <w:div w:id="823358597">
                                                                                          <w:marLeft w:val="0"/>
                                                                                          <w:marRight w:val="0"/>
                                                                                          <w:marTop w:val="0"/>
                                                                                          <w:marBottom w:val="0"/>
                                                                                          <w:divBdr>
                                                                                            <w:top w:val="none" w:sz="0" w:space="0" w:color="auto"/>
                                                                                            <w:left w:val="none" w:sz="0" w:space="0" w:color="auto"/>
                                                                                            <w:bottom w:val="none" w:sz="0" w:space="0" w:color="auto"/>
                                                                                            <w:right w:val="none" w:sz="0" w:space="0" w:color="auto"/>
                                                                                          </w:divBdr>
                                                                                        </w:div>
                                                                                        <w:div w:id="823358600">
                                                                                          <w:marLeft w:val="0"/>
                                                                                          <w:marRight w:val="0"/>
                                                                                          <w:marTop w:val="0"/>
                                                                                          <w:marBottom w:val="0"/>
                                                                                          <w:divBdr>
                                                                                            <w:top w:val="none" w:sz="0" w:space="0" w:color="auto"/>
                                                                                            <w:left w:val="none" w:sz="0" w:space="0" w:color="auto"/>
                                                                                            <w:bottom w:val="none" w:sz="0" w:space="0" w:color="auto"/>
                                                                                            <w:right w:val="none" w:sz="0" w:space="0" w:color="auto"/>
                                                                                          </w:divBdr>
                                                                                        </w:div>
                                                                                        <w:div w:id="823358605">
                                                                                          <w:marLeft w:val="0"/>
                                                                                          <w:marRight w:val="0"/>
                                                                                          <w:marTop w:val="0"/>
                                                                                          <w:marBottom w:val="0"/>
                                                                                          <w:divBdr>
                                                                                            <w:top w:val="none" w:sz="0" w:space="0" w:color="auto"/>
                                                                                            <w:left w:val="none" w:sz="0" w:space="0" w:color="auto"/>
                                                                                            <w:bottom w:val="none" w:sz="0" w:space="0" w:color="auto"/>
                                                                                            <w:right w:val="none" w:sz="0" w:space="0" w:color="auto"/>
                                                                                          </w:divBdr>
                                                                                        </w:div>
                                                                                        <w:div w:id="823358622">
                                                                                          <w:marLeft w:val="0"/>
                                                                                          <w:marRight w:val="0"/>
                                                                                          <w:marTop w:val="0"/>
                                                                                          <w:marBottom w:val="0"/>
                                                                                          <w:divBdr>
                                                                                            <w:top w:val="none" w:sz="0" w:space="0" w:color="auto"/>
                                                                                            <w:left w:val="none" w:sz="0" w:space="0" w:color="auto"/>
                                                                                            <w:bottom w:val="none" w:sz="0" w:space="0" w:color="auto"/>
                                                                                            <w:right w:val="none" w:sz="0" w:space="0" w:color="auto"/>
                                                                                          </w:divBdr>
                                                                                        </w:div>
                                                                                        <w:div w:id="823358626">
                                                                                          <w:marLeft w:val="0"/>
                                                                                          <w:marRight w:val="0"/>
                                                                                          <w:marTop w:val="0"/>
                                                                                          <w:marBottom w:val="0"/>
                                                                                          <w:divBdr>
                                                                                            <w:top w:val="none" w:sz="0" w:space="0" w:color="auto"/>
                                                                                            <w:left w:val="none" w:sz="0" w:space="0" w:color="auto"/>
                                                                                            <w:bottom w:val="none" w:sz="0" w:space="0" w:color="auto"/>
                                                                                            <w:right w:val="none" w:sz="0" w:space="0" w:color="auto"/>
                                                                                          </w:divBdr>
                                                                                        </w:div>
                                                                                        <w:div w:id="823358632">
                                                                                          <w:marLeft w:val="0"/>
                                                                                          <w:marRight w:val="0"/>
                                                                                          <w:marTop w:val="0"/>
                                                                                          <w:marBottom w:val="0"/>
                                                                                          <w:divBdr>
                                                                                            <w:top w:val="none" w:sz="0" w:space="0" w:color="auto"/>
                                                                                            <w:left w:val="none" w:sz="0" w:space="0" w:color="auto"/>
                                                                                            <w:bottom w:val="none" w:sz="0" w:space="0" w:color="auto"/>
                                                                                            <w:right w:val="none" w:sz="0" w:space="0" w:color="auto"/>
                                                                                          </w:divBdr>
                                                                                        </w:div>
                                                                                        <w:div w:id="823358634">
                                                                                          <w:marLeft w:val="0"/>
                                                                                          <w:marRight w:val="0"/>
                                                                                          <w:marTop w:val="0"/>
                                                                                          <w:marBottom w:val="0"/>
                                                                                          <w:divBdr>
                                                                                            <w:top w:val="none" w:sz="0" w:space="0" w:color="auto"/>
                                                                                            <w:left w:val="none" w:sz="0" w:space="0" w:color="auto"/>
                                                                                            <w:bottom w:val="none" w:sz="0" w:space="0" w:color="auto"/>
                                                                                            <w:right w:val="none" w:sz="0" w:space="0" w:color="auto"/>
                                                                                          </w:divBdr>
                                                                                        </w:div>
                                                                                        <w:div w:id="823358635">
                                                                                          <w:marLeft w:val="0"/>
                                                                                          <w:marRight w:val="0"/>
                                                                                          <w:marTop w:val="0"/>
                                                                                          <w:marBottom w:val="0"/>
                                                                                          <w:divBdr>
                                                                                            <w:top w:val="none" w:sz="0" w:space="0" w:color="auto"/>
                                                                                            <w:left w:val="none" w:sz="0" w:space="0" w:color="auto"/>
                                                                                            <w:bottom w:val="none" w:sz="0" w:space="0" w:color="auto"/>
                                                                                            <w:right w:val="none" w:sz="0" w:space="0" w:color="auto"/>
                                                                                          </w:divBdr>
                                                                                        </w:div>
                                                                                        <w:div w:id="823358639">
                                                                                          <w:marLeft w:val="0"/>
                                                                                          <w:marRight w:val="0"/>
                                                                                          <w:marTop w:val="0"/>
                                                                                          <w:marBottom w:val="0"/>
                                                                                          <w:divBdr>
                                                                                            <w:top w:val="none" w:sz="0" w:space="0" w:color="auto"/>
                                                                                            <w:left w:val="none" w:sz="0" w:space="0" w:color="auto"/>
                                                                                            <w:bottom w:val="none" w:sz="0" w:space="0" w:color="auto"/>
                                                                                            <w:right w:val="none" w:sz="0" w:space="0" w:color="auto"/>
                                                                                          </w:divBdr>
                                                                                        </w:div>
                                                                                        <w:div w:id="823358645">
                                                                                          <w:marLeft w:val="0"/>
                                                                                          <w:marRight w:val="0"/>
                                                                                          <w:marTop w:val="0"/>
                                                                                          <w:marBottom w:val="0"/>
                                                                                          <w:divBdr>
                                                                                            <w:top w:val="none" w:sz="0" w:space="0" w:color="auto"/>
                                                                                            <w:left w:val="none" w:sz="0" w:space="0" w:color="auto"/>
                                                                                            <w:bottom w:val="none" w:sz="0" w:space="0" w:color="auto"/>
                                                                                            <w:right w:val="none" w:sz="0" w:space="0" w:color="auto"/>
                                                                                          </w:divBdr>
                                                                                        </w:div>
                                                                                        <w:div w:id="823358651">
                                                                                          <w:marLeft w:val="0"/>
                                                                                          <w:marRight w:val="0"/>
                                                                                          <w:marTop w:val="0"/>
                                                                                          <w:marBottom w:val="0"/>
                                                                                          <w:divBdr>
                                                                                            <w:top w:val="none" w:sz="0" w:space="0" w:color="auto"/>
                                                                                            <w:left w:val="none" w:sz="0" w:space="0" w:color="auto"/>
                                                                                            <w:bottom w:val="none" w:sz="0" w:space="0" w:color="auto"/>
                                                                                            <w:right w:val="none" w:sz="0" w:space="0" w:color="auto"/>
                                                                                          </w:divBdr>
                                                                                        </w:div>
                                                                                        <w:div w:id="823358655">
                                                                                          <w:marLeft w:val="0"/>
                                                                                          <w:marRight w:val="0"/>
                                                                                          <w:marTop w:val="0"/>
                                                                                          <w:marBottom w:val="0"/>
                                                                                          <w:divBdr>
                                                                                            <w:top w:val="none" w:sz="0" w:space="0" w:color="auto"/>
                                                                                            <w:left w:val="none" w:sz="0" w:space="0" w:color="auto"/>
                                                                                            <w:bottom w:val="none" w:sz="0" w:space="0" w:color="auto"/>
                                                                                            <w:right w:val="none" w:sz="0" w:space="0" w:color="auto"/>
                                                                                          </w:divBdr>
                                                                                        </w:div>
                                                                                        <w:div w:id="823358668">
                                                                                          <w:marLeft w:val="0"/>
                                                                                          <w:marRight w:val="0"/>
                                                                                          <w:marTop w:val="0"/>
                                                                                          <w:marBottom w:val="0"/>
                                                                                          <w:divBdr>
                                                                                            <w:top w:val="none" w:sz="0" w:space="0" w:color="auto"/>
                                                                                            <w:left w:val="none" w:sz="0" w:space="0" w:color="auto"/>
                                                                                            <w:bottom w:val="none" w:sz="0" w:space="0" w:color="auto"/>
                                                                                            <w:right w:val="none" w:sz="0" w:space="0" w:color="auto"/>
                                                                                          </w:divBdr>
                                                                                        </w:div>
                                                                                        <w:div w:id="823358669">
                                                                                          <w:marLeft w:val="0"/>
                                                                                          <w:marRight w:val="0"/>
                                                                                          <w:marTop w:val="0"/>
                                                                                          <w:marBottom w:val="0"/>
                                                                                          <w:divBdr>
                                                                                            <w:top w:val="none" w:sz="0" w:space="0" w:color="auto"/>
                                                                                            <w:left w:val="none" w:sz="0" w:space="0" w:color="auto"/>
                                                                                            <w:bottom w:val="none" w:sz="0" w:space="0" w:color="auto"/>
                                                                                            <w:right w:val="none" w:sz="0" w:space="0" w:color="auto"/>
                                                                                          </w:divBdr>
                                                                                        </w:div>
                                                                                        <w:div w:id="823358671">
                                                                                          <w:marLeft w:val="0"/>
                                                                                          <w:marRight w:val="0"/>
                                                                                          <w:marTop w:val="0"/>
                                                                                          <w:marBottom w:val="0"/>
                                                                                          <w:divBdr>
                                                                                            <w:top w:val="none" w:sz="0" w:space="0" w:color="auto"/>
                                                                                            <w:left w:val="none" w:sz="0" w:space="0" w:color="auto"/>
                                                                                            <w:bottom w:val="none" w:sz="0" w:space="0" w:color="auto"/>
                                                                                            <w:right w:val="none" w:sz="0" w:space="0" w:color="auto"/>
                                                                                          </w:divBdr>
                                                                                        </w:div>
                                                                                        <w:div w:id="823358675">
                                                                                          <w:marLeft w:val="0"/>
                                                                                          <w:marRight w:val="0"/>
                                                                                          <w:marTop w:val="0"/>
                                                                                          <w:marBottom w:val="0"/>
                                                                                          <w:divBdr>
                                                                                            <w:top w:val="none" w:sz="0" w:space="0" w:color="auto"/>
                                                                                            <w:left w:val="none" w:sz="0" w:space="0" w:color="auto"/>
                                                                                            <w:bottom w:val="none" w:sz="0" w:space="0" w:color="auto"/>
                                                                                            <w:right w:val="none" w:sz="0" w:space="0" w:color="auto"/>
                                                                                          </w:divBdr>
                                                                                        </w:div>
                                                                                        <w:div w:id="823358679">
                                                                                          <w:marLeft w:val="0"/>
                                                                                          <w:marRight w:val="0"/>
                                                                                          <w:marTop w:val="0"/>
                                                                                          <w:marBottom w:val="0"/>
                                                                                          <w:divBdr>
                                                                                            <w:top w:val="none" w:sz="0" w:space="0" w:color="auto"/>
                                                                                            <w:left w:val="none" w:sz="0" w:space="0" w:color="auto"/>
                                                                                            <w:bottom w:val="none" w:sz="0" w:space="0" w:color="auto"/>
                                                                                            <w:right w:val="none" w:sz="0" w:space="0" w:color="auto"/>
                                                                                          </w:divBdr>
                                                                                          <w:divsChild>
                                                                                            <w:div w:id="823358511">
                                                                                              <w:marLeft w:val="0"/>
                                                                                              <w:marRight w:val="0"/>
                                                                                              <w:marTop w:val="0"/>
                                                                                              <w:marBottom w:val="0"/>
                                                                                              <w:divBdr>
                                                                                                <w:top w:val="none" w:sz="0" w:space="0" w:color="auto"/>
                                                                                                <w:left w:val="none" w:sz="0" w:space="0" w:color="auto"/>
                                                                                                <w:bottom w:val="none" w:sz="0" w:space="0" w:color="auto"/>
                                                                                                <w:right w:val="none" w:sz="0" w:space="0" w:color="auto"/>
                                                                                              </w:divBdr>
                                                                                            </w:div>
                                                                                            <w:div w:id="823358565">
                                                                                              <w:marLeft w:val="0"/>
                                                                                              <w:marRight w:val="0"/>
                                                                                              <w:marTop w:val="0"/>
                                                                                              <w:marBottom w:val="0"/>
                                                                                              <w:divBdr>
                                                                                                <w:top w:val="none" w:sz="0" w:space="0" w:color="auto"/>
                                                                                                <w:left w:val="none" w:sz="0" w:space="0" w:color="auto"/>
                                                                                                <w:bottom w:val="none" w:sz="0" w:space="0" w:color="auto"/>
                                                                                                <w:right w:val="none" w:sz="0" w:space="0" w:color="auto"/>
                                                                                              </w:divBdr>
                                                                                            </w:div>
                                                                                            <w:div w:id="823358571">
                                                                                              <w:marLeft w:val="0"/>
                                                                                              <w:marRight w:val="0"/>
                                                                                              <w:marTop w:val="0"/>
                                                                                              <w:marBottom w:val="0"/>
                                                                                              <w:divBdr>
                                                                                                <w:top w:val="none" w:sz="0" w:space="0" w:color="auto"/>
                                                                                                <w:left w:val="none" w:sz="0" w:space="0" w:color="auto"/>
                                                                                                <w:bottom w:val="none" w:sz="0" w:space="0" w:color="auto"/>
                                                                                                <w:right w:val="none" w:sz="0" w:space="0" w:color="auto"/>
                                                                                              </w:divBdr>
                                                                                            </w:div>
                                                                                            <w:div w:id="823358574">
                                                                                              <w:marLeft w:val="0"/>
                                                                                              <w:marRight w:val="0"/>
                                                                                              <w:marTop w:val="0"/>
                                                                                              <w:marBottom w:val="0"/>
                                                                                              <w:divBdr>
                                                                                                <w:top w:val="none" w:sz="0" w:space="0" w:color="auto"/>
                                                                                                <w:left w:val="none" w:sz="0" w:space="0" w:color="auto"/>
                                                                                                <w:bottom w:val="none" w:sz="0" w:space="0" w:color="auto"/>
                                                                                                <w:right w:val="none" w:sz="0" w:space="0" w:color="auto"/>
                                                                                              </w:divBdr>
                                                                                            </w:div>
                                                                                            <w:div w:id="823358575">
                                                                                              <w:marLeft w:val="0"/>
                                                                                              <w:marRight w:val="0"/>
                                                                                              <w:marTop w:val="0"/>
                                                                                              <w:marBottom w:val="0"/>
                                                                                              <w:divBdr>
                                                                                                <w:top w:val="none" w:sz="0" w:space="0" w:color="auto"/>
                                                                                                <w:left w:val="none" w:sz="0" w:space="0" w:color="auto"/>
                                                                                                <w:bottom w:val="none" w:sz="0" w:space="0" w:color="auto"/>
                                                                                                <w:right w:val="none" w:sz="0" w:space="0" w:color="auto"/>
                                                                                              </w:divBdr>
                                                                                            </w:div>
                                                                                            <w:div w:id="823358612">
                                                                                              <w:marLeft w:val="0"/>
                                                                                              <w:marRight w:val="0"/>
                                                                                              <w:marTop w:val="0"/>
                                                                                              <w:marBottom w:val="0"/>
                                                                                              <w:divBdr>
                                                                                                <w:top w:val="none" w:sz="0" w:space="0" w:color="auto"/>
                                                                                                <w:left w:val="none" w:sz="0" w:space="0" w:color="auto"/>
                                                                                                <w:bottom w:val="none" w:sz="0" w:space="0" w:color="auto"/>
                                                                                                <w:right w:val="none" w:sz="0" w:space="0" w:color="auto"/>
                                                                                              </w:divBdr>
                                                                                            </w:div>
                                                                                            <w:div w:id="823358614">
                                                                                              <w:marLeft w:val="0"/>
                                                                                              <w:marRight w:val="0"/>
                                                                                              <w:marTop w:val="0"/>
                                                                                              <w:marBottom w:val="0"/>
                                                                                              <w:divBdr>
                                                                                                <w:top w:val="none" w:sz="0" w:space="0" w:color="auto"/>
                                                                                                <w:left w:val="none" w:sz="0" w:space="0" w:color="auto"/>
                                                                                                <w:bottom w:val="none" w:sz="0" w:space="0" w:color="auto"/>
                                                                                                <w:right w:val="none" w:sz="0" w:space="0" w:color="auto"/>
                                                                                              </w:divBdr>
                                                                                            </w:div>
                                                                                            <w:div w:id="823358616">
                                                                                              <w:marLeft w:val="0"/>
                                                                                              <w:marRight w:val="0"/>
                                                                                              <w:marTop w:val="0"/>
                                                                                              <w:marBottom w:val="0"/>
                                                                                              <w:divBdr>
                                                                                                <w:top w:val="none" w:sz="0" w:space="0" w:color="auto"/>
                                                                                                <w:left w:val="none" w:sz="0" w:space="0" w:color="auto"/>
                                                                                                <w:bottom w:val="none" w:sz="0" w:space="0" w:color="auto"/>
                                                                                                <w:right w:val="none" w:sz="0" w:space="0" w:color="auto"/>
                                                                                              </w:divBdr>
                                                                                            </w:div>
                                                                                            <w:div w:id="823358618">
                                                                                              <w:marLeft w:val="0"/>
                                                                                              <w:marRight w:val="0"/>
                                                                                              <w:marTop w:val="0"/>
                                                                                              <w:marBottom w:val="0"/>
                                                                                              <w:divBdr>
                                                                                                <w:top w:val="none" w:sz="0" w:space="0" w:color="auto"/>
                                                                                                <w:left w:val="none" w:sz="0" w:space="0" w:color="auto"/>
                                                                                                <w:bottom w:val="none" w:sz="0" w:space="0" w:color="auto"/>
                                                                                                <w:right w:val="none" w:sz="0" w:space="0" w:color="auto"/>
                                                                                              </w:divBdr>
                                                                                            </w:div>
                                                                                            <w:div w:id="823358640">
                                                                                              <w:marLeft w:val="0"/>
                                                                                              <w:marRight w:val="0"/>
                                                                                              <w:marTop w:val="0"/>
                                                                                              <w:marBottom w:val="0"/>
                                                                                              <w:divBdr>
                                                                                                <w:top w:val="none" w:sz="0" w:space="0" w:color="auto"/>
                                                                                                <w:left w:val="none" w:sz="0" w:space="0" w:color="auto"/>
                                                                                                <w:bottom w:val="none" w:sz="0" w:space="0" w:color="auto"/>
                                                                                                <w:right w:val="none" w:sz="0" w:space="0" w:color="auto"/>
                                                                                              </w:divBdr>
                                                                                            </w:div>
                                                                                            <w:div w:id="823358644">
                                                                                              <w:marLeft w:val="0"/>
                                                                                              <w:marRight w:val="0"/>
                                                                                              <w:marTop w:val="0"/>
                                                                                              <w:marBottom w:val="0"/>
                                                                                              <w:divBdr>
                                                                                                <w:top w:val="none" w:sz="0" w:space="0" w:color="auto"/>
                                                                                                <w:left w:val="none" w:sz="0" w:space="0" w:color="auto"/>
                                                                                                <w:bottom w:val="none" w:sz="0" w:space="0" w:color="auto"/>
                                                                                                <w:right w:val="none" w:sz="0" w:space="0" w:color="auto"/>
                                                                                              </w:divBdr>
                                                                                              <w:divsChild>
                                                                                                <w:div w:id="823358573">
                                                                                                  <w:marLeft w:val="0"/>
                                                                                                  <w:marRight w:val="0"/>
                                                                                                  <w:marTop w:val="0"/>
                                                                                                  <w:marBottom w:val="0"/>
                                                                                                  <w:divBdr>
                                                                                                    <w:top w:val="none" w:sz="0" w:space="0" w:color="auto"/>
                                                                                                    <w:left w:val="none" w:sz="0" w:space="0" w:color="auto"/>
                                                                                                    <w:bottom w:val="none" w:sz="0" w:space="0" w:color="auto"/>
                                                                                                    <w:right w:val="none" w:sz="0" w:space="0" w:color="auto"/>
                                                                                                  </w:divBdr>
                                                                                                  <w:divsChild>
                                                                                                    <w:div w:id="823358569">
                                                                                                      <w:marLeft w:val="0"/>
                                                                                                      <w:marRight w:val="0"/>
                                                                                                      <w:marTop w:val="0"/>
                                                                                                      <w:marBottom w:val="0"/>
                                                                                                      <w:divBdr>
                                                                                                        <w:top w:val="none" w:sz="0" w:space="0" w:color="auto"/>
                                                                                                        <w:left w:val="none" w:sz="0" w:space="0" w:color="auto"/>
                                                                                                        <w:bottom w:val="none" w:sz="0" w:space="0" w:color="auto"/>
                                                                                                        <w:right w:val="none" w:sz="0" w:space="0" w:color="auto"/>
                                                                                                      </w:divBdr>
                                                                                                      <w:divsChild>
                                                                                                        <w:div w:id="823358604">
                                                                                                          <w:marLeft w:val="0"/>
                                                                                                          <w:marRight w:val="0"/>
                                                                                                          <w:marTop w:val="0"/>
                                                                                                          <w:marBottom w:val="0"/>
                                                                                                          <w:divBdr>
                                                                                                            <w:top w:val="none" w:sz="0" w:space="0" w:color="auto"/>
                                                                                                            <w:left w:val="none" w:sz="0" w:space="0" w:color="auto"/>
                                                                                                            <w:bottom w:val="none" w:sz="0" w:space="0" w:color="auto"/>
                                                                                                            <w:right w:val="none" w:sz="0" w:space="0" w:color="auto"/>
                                                                                                          </w:divBdr>
                                                                                                        </w:div>
                                                                                                        <w:div w:id="823358607">
                                                                                                          <w:marLeft w:val="0"/>
                                                                                                          <w:marRight w:val="0"/>
                                                                                                          <w:marTop w:val="0"/>
                                                                                                          <w:marBottom w:val="0"/>
                                                                                                          <w:divBdr>
                                                                                                            <w:top w:val="none" w:sz="0" w:space="0" w:color="auto"/>
                                                                                                            <w:left w:val="none" w:sz="0" w:space="0" w:color="auto"/>
                                                                                                            <w:bottom w:val="none" w:sz="0" w:space="0" w:color="auto"/>
                                                                                                            <w:right w:val="none" w:sz="0" w:space="0" w:color="auto"/>
                                                                                                          </w:divBdr>
                                                                                                          <w:divsChild>
                                                                                                            <w:div w:id="823358559">
                                                                                                              <w:marLeft w:val="0"/>
                                                                                                              <w:marRight w:val="0"/>
                                                                                                              <w:marTop w:val="0"/>
                                                                                                              <w:marBottom w:val="0"/>
                                                                                                              <w:divBdr>
                                                                                                                <w:top w:val="none" w:sz="0" w:space="0" w:color="auto"/>
                                                                                                                <w:left w:val="none" w:sz="0" w:space="0" w:color="auto"/>
                                                                                                                <w:bottom w:val="none" w:sz="0" w:space="0" w:color="auto"/>
                                                                                                                <w:right w:val="none" w:sz="0" w:space="0" w:color="auto"/>
                                                                                                              </w:divBdr>
                                                                                                              <w:divsChild>
                                                                                                                <w:div w:id="823358708">
                                                                                                                  <w:marLeft w:val="0"/>
                                                                                                                  <w:marRight w:val="0"/>
                                                                                                                  <w:marTop w:val="0"/>
                                                                                                                  <w:marBottom w:val="0"/>
                                                                                                                  <w:divBdr>
                                                                                                                    <w:top w:val="none" w:sz="0" w:space="0" w:color="auto"/>
                                                                                                                    <w:left w:val="none" w:sz="0" w:space="0" w:color="auto"/>
                                                                                                                    <w:bottom w:val="none" w:sz="0" w:space="0" w:color="auto"/>
                                                                                                                    <w:right w:val="none" w:sz="0" w:space="0" w:color="auto"/>
                                                                                                                  </w:divBdr>
                                                                                                                  <w:divsChild>
                                                                                                                    <w:div w:id="823358603">
                                                                                                                      <w:marLeft w:val="0"/>
                                                                                                                      <w:marRight w:val="0"/>
                                                                                                                      <w:marTop w:val="0"/>
                                                                                                                      <w:marBottom w:val="0"/>
                                                                                                                      <w:divBdr>
                                                                                                                        <w:top w:val="none" w:sz="0" w:space="0" w:color="auto"/>
                                                                                                                        <w:left w:val="none" w:sz="0" w:space="0" w:color="auto"/>
                                                                                                                        <w:bottom w:val="none" w:sz="0" w:space="0" w:color="auto"/>
                                                                                                                        <w:right w:val="none" w:sz="0" w:space="0" w:color="auto"/>
                                                                                                                      </w:divBdr>
                                                                                                                    </w:div>
                                                                                                                    <w:div w:id="823358606">
                                                                                                                      <w:marLeft w:val="0"/>
                                                                                                                      <w:marRight w:val="0"/>
                                                                                                                      <w:marTop w:val="0"/>
                                                                                                                      <w:marBottom w:val="0"/>
                                                                                                                      <w:divBdr>
                                                                                                                        <w:top w:val="none" w:sz="0" w:space="0" w:color="auto"/>
                                                                                                                        <w:left w:val="none" w:sz="0" w:space="0" w:color="auto"/>
                                                                                                                        <w:bottom w:val="none" w:sz="0" w:space="0" w:color="auto"/>
                                                                                                                        <w:right w:val="none" w:sz="0" w:space="0" w:color="auto"/>
                                                                                                                      </w:divBdr>
                                                                                                                    </w:div>
                                                                                                                    <w:div w:id="823358619">
                                                                                                                      <w:marLeft w:val="0"/>
                                                                                                                      <w:marRight w:val="0"/>
                                                                                                                      <w:marTop w:val="0"/>
                                                                                                                      <w:marBottom w:val="0"/>
                                                                                                                      <w:divBdr>
                                                                                                                        <w:top w:val="none" w:sz="0" w:space="0" w:color="auto"/>
                                                                                                                        <w:left w:val="none" w:sz="0" w:space="0" w:color="auto"/>
                                                                                                                        <w:bottom w:val="none" w:sz="0" w:space="0" w:color="auto"/>
                                                                                                                        <w:right w:val="none" w:sz="0" w:space="0" w:color="auto"/>
                                                                                                                      </w:divBdr>
                                                                                                                    </w:div>
                                                                                                                    <w:div w:id="823358682">
                                                                                                                      <w:marLeft w:val="0"/>
                                                                                                                      <w:marRight w:val="0"/>
                                                                                                                      <w:marTop w:val="0"/>
                                                                                                                      <w:marBottom w:val="0"/>
                                                                                                                      <w:divBdr>
                                                                                                                        <w:top w:val="none" w:sz="0" w:space="0" w:color="auto"/>
                                                                                                                        <w:left w:val="none" w:sz="0" w:space="0" w:color="auto"/>
                                                                                                                        <w:bottom w:val="none" w:sz="0" w:space="0" w:color="auto"/>
                                                                                                                        <w:right w:val="none" w:sz="0" w:space="0" w:color="auto"/>
                                                                                                                      </w:divBdr>
                                                                                                                    </w:div>
                                                                                                                    <w:div w:id="823358711">
                                                                                                                      <w:marLeft w:val="0"/>
                                                                                                                      <w:marRight w:val="0"/>
                                                                                                                      <w:marTop w:val="0"/>
                                                                                                                      <w:marBottom w:val="0"/>
                                                                                                                      <w:divBdr>
                                                                                                                        <w:top w:val="none" w:sz="0" w:space="0" w:color="auto"/>
                                                                                                                        <w:left w:val="none" w:sz="0" w:space="0" w:color="auto"/>
                                                                                                                        <w:bottom w:val="none" w:sz="0" w:space="0" w:color="auto"/>
                                                                                                                        <w:right w:val="none" w:sz="0" w:space="0" w:color="auto"/>
                                                                                                                      </w:divBdr>
                                                                                                                    </w:div>
                                                                                                                    <w:div w:id="823358725">
                                                                                                                      <w:marLeft w:val="0"/>
                                                                                                                      <w:marRight w:val="0"/>
                                                                                                                      <w:marTop w:val="0"/>
                                                                                                                      <w:marBottom w:val="0"/>
                                                                                                                      <w:divBdr>
                                                                                                                        <w:top w:val="none" w:sz="0" w:space="0" w:color="auto"/>
                                                                                                                        <w:left w:val="none" w:sz="0" w:space="0" w:color="auto"/>
                                                                                                                        <w:bottom w:val="none" w:sz="0" w:space="0" w:color="auto"/>
                                                                                                                        <w:right w:val="none" w:sz="0" w:space="0" w:color="auto"/>
                                                                                                                      </w:divBdr>
                                                                                                                    </w:div>
                                                                                                                    <w:div w:id="823358726">
                                                                                                                      <w:marLeft w:val="0"/>
                                                                                                                      <w:marRight w:val="0"/>
                                                                                                                      <w:marTop w:val="0"/>
                                                                                                                      <w:marBottom w:val="0"/>
                                                                                                                      <w:divBdr>
                                                                                                                        <w:top w:val="none" w:sz="0" w:space="0" w:color="auto"/>
                                                                                                                        <w:left w:val="none" w:sz="0" w:space="0" w:color="auto"/>
                                                                                                                        <w:bottom w:val="none" w:sz="0" w:space="0" w:color="auto"/>
                                                                                                                        <w:right w:val="none" w:sz="0" w:space="0" w:color="auto"/>
                                                                                                                      </w:divBdr>
                                                                                                                    </w:div>
                                                                                                                    <w:div w:id="823358733">
                                                                                                                      <w:marLeft w:val="0"/>
                                                                                                                      <w:marRight w:val="0"/>
                                                                                                                      <w:marTop w:val="0"/>
                                                                                                                      <w:marBottom w:val="0"/>
                                                                                                                      <w:divBdr>
                                                                                                                        <w:top w:val="none" w:sz="0" w:space="0" w:color="auto"/>
                                                                                                                        <w:left w:val="none" w:sz="0" w:space="0" w:color="auto"/>
                                                                                                                        <w:bottom w:val="none" w:sz="0" w:space="0" w:color="auto"/>
                                                                                                                        <w:right w:val="none" w:sz="0" w:space="0" w:color="auto"/>
                                                                                                                      </w:divBdr>
                                                                                                                      <w:divsChild>
                                                                                                                        <w:div w:id="823358570">
                                                                                                                          <w:marLeft w:val="0"/>
                                                                                                                          <w:marRight w:val="0"/>
                                                                                                                          <w:marTop w:val="0"/>
                                                                                                                          <w:marBottom w:val="0"/>
                                                                                                                          <w:divBdr>
                                                                                                                            <w:top w:val="none" w:sz="0" w:space="0" w:color="auto"/>
                                                                                                                            <w:left w:val="none" w:sz="0" w:space="0" w:color="auto"/>
                                                                                                                            <w:bottom w:val="none" w:sz="0" w:space="0" w:color="auto"/>
                                                                                                                            <w:right w:val="none" w:sz="0" w:space="0" w:color="auto"/>
                                                                                                                          </w:divBdr>
                                                                                                                        </w:div>
                                                                                                                        <w:div w:id="823358577">
                                                                                                                          <w:marLeft w:val="0"/>
                                                                                                                          <w:marRight w:val="0"/>
                                                                                                                          <w:marTop w:val="0"/>
                                                                                                                          <w:marBottom w:val="0"/>
                                                                                                                          <w:divBdr>
                                                                                                                            <w:top w:val="none" w:sz="0" w:space="0" w:color="auto"/>
                                                                                                                            <w:left w:val="none" w:sz="0" w:space="0" w:color="auto"/>
                                                                                                                            <w:bottom w:val="none" w:sz="0" w:space="0" w:color="auto"/>
                                                                                                                            <w:right w:val="none" w:sz="0" w:space="0" w:color="auto"/>
                                                                                                                          </w:divBdr>
                                                                                                                        </w:div>
                                                                                                                        <w:div w:id="823358582">
                                                                                                                          <w:marLeft w:val="0"/>
                                                                                                                          <w:marRight w:val="0"/>
                                                                                                                          <w:marTop w:val="0"/>
                                                                                                                          <w:marBottom w:val="0"/>
                                                                                                                          <w:divBdr>
                                                                                                                            <w:top w:val="none" w:sz="0" w:space="0" w:color="auto"/>
                                                                                                                            <w:left w:val="none" w:sz="0" w:space="0" w:color="auto"/>
                                                                                                                            <w:bottom w:val="none" w:sz="0" w:space="0" w:color="auto"/>
                                                                                                                            <w:right w:val="none" w:sz="0" w:space="0" w:color="auto"/>
                                                                                                                          </w:divBdr>
                                                                                                                        </w:div>
                                                                                                                        <w:div w:id="823358592">
                                                                                                                          <w:marLeft w:val="0"/>
                                                                                                                          <w:marRight w:val="0"/>
                                                                                                                          <w:marTop w:val="0"/>
                                                                                                                          <w:marBottom w:val="0"/>
                                                                                                                          <w:divBdr>
                                                                                                                            <w:top w:val="none" w:sz="0" w:space="0" w:color="auto"/>
                                                                                                                            <w:left w:val="none" w:sz="0" w:space="0" w:color="auto"/>
                                                                                                                            <w:bottom w:val="none" w:sz="0" w:space="0" w:color="auto"/>
                                                                                                                            <w:right w:val="none" w:sz="0" w:space="0" w:color="auto"/>
                                                                                                                          </w:divBdr>
                                                                                                                        </w:div>
                                                                                                                        <w:div w:id="823358601">
                                                                                                                          <w:marLeft w:val="0"/>
                                                                                                                          <w:marRight w:val="0"/>
                                                                                                                          <w:marTop w:val="0"/>
                                                                                                                          <w:marBottom w:val="0"/>
                                                                                                                          <w:divBdr>
                                                                                                                            <w:top w:val="none" w:sz="0" w:space="0" w:color="auto"/>
                                                                                                                            <w:left w:val="none" w:sz="0" w:space="0" w:color="auto"/>
                                                                                                                            <w:bottom w:val="none" w:sz="0" w:space="0" w:color="auto"/>
                                                                                                                            <w:right w:val="none" w:sz="0" w:space="0" w:color="auto"/>
                                                                                                                          </w:divBdr>
                                                                                                                        </w:div>
                                                                                                                        <w:div w:id="823358608">
                                                                                                                          <w:marLeft w:val="0"/>
                                                                                                                          <w:marRight w:val="0"/>
                                                                                                                          <w:marTop w:val="0"/>
                                                                                                                          <w:marBottom w:val="0"/>
                                                                                                                          <w:divBdr>
                                                                                                                            <w:top w:val="none" w:sz="0" w:space="0" w:color="auto"/>
                                                                                                                            <w:left w:val="none" w:sz="0" w:space="0" w:color="auto"/>
                                                                                                                            <w:bottom w:val="none" w:sz="0" w:space="0" w:color="auto"/>
                                                                                                                            <w:right w:val="none" w:sz="0" w:space="0" w:color="auto"/>
                                                                                                                          </w:divBdr>
                                                                                                                        </w:div>
                                                                                                                        <w:div w:id="823358611">
                                                                                                                          <w:marLeft w:val="0"/>
                                                                                                                          <w:marRight w:val="0"/>
                                                                                                                          <w:marTop w:val="0"/>
                                                                                                                          <w:marBottom w:val="0"/>
                                                                                                                          <w:divBdr>
                                                                                                                            <w:top w:val="none" w:sz="0" w:space="0" w:color="auto"/>
                                                                                                                            <w:left w:val="none" w:sz="0" w:space="0" w:color="auto"/>
                                                                                                                            <w:bottom w:val="none" w:sz="0" w:space="0" w:color="auto"/>
                                                                                                                            <w:right w:val="none" w:sz="0" w:space="0" w:color="auto"/>
                                                                                                                          </w:divBdr>
                                                                                                                        </w:div>
                                                                                                                        <w:div w:id="823358613">
                                                                                                                          <w:marLeft w:val="0"/>
                                                                                                                          <w:marRight w:val="0"/>
                                                                                                                          <w:marTop w:val="0"/>
                                                                                                                          <w:marBottom w:val="0"/>
                                                                                                                          <w:divBdr>
                                                                                                                            <w:top w:val="none" w:sz="0" w:space="0" w:color="auto"/>
                                                                                                                            <w:left w:val="none" w:sz="0" w:space="0" w:color="auto"/>
                                                                                                                            <w:bottom w:val="none" w:sz="0" w:space="0" w:color="auto"/>
                                                                                                                            <w:right w:val="none" w:sz="0" w:space="0" w:color="auto"/>
                                                                                                                          </w:divBdr>
                                                                                                                          <w:divsChild>
                                                                                                                            <w:div w:id="823358650">
                                                                                                                              <w:marLeft w:val="0"/>
                                                                                                                              <w:marRight w:val="0"/>
                                                                                                                              <w:marTop w:val="0"/>
                                                                                                                              <w:marBottom w:val="0"/>
                                                                                                                              <w:divBdr>
                                                                                                                                <w:top w:val="none" w:sz="0" w:space="0" w:color="auto"/>
                                                                                                                                <w:left w:val="none" w:sz="0" w:space="0" w:color="auto"/>
                                                                                                                                <w:bottom w:val="none" w:sz="0" w:space="0" w:color="auto"/>
                                                                                                                                <w:right w:val="none" w:sz="0" w:space="0" w:color="auto"/>
                                                                                                                              </w:divBdr>
                                                                                                                              <w:divsChild>
                                                                                                                                <w:div w:id="823358609">
                                                                                                                                  <w:marLeft w:val="0"/>
                                                                                                                                  <w:marRight w:val="0"/>
                                                                                                                                  <w:marTop w:val="0"/>
                                                                                                                                  <w:marBottom w:val="0"/>
                                                                                                                                  <w:divBdr>
                                                                                                                                    <w:top w:val="none" w:sz="0" w:space="0" w:color="auto"/>
                                                                                                                                    <w:left w:val="none" w:sz="0" w:space="0" w:color="auto"/>
                                                                                                                                    <w:bottom w:val="none" w:sz="0" w:space="0" w:color="auto"/>
                                                                                                                                    <w:right w:val="none" w:sz="0" w:space="0" w:color="auto"/>
                                                                                                                                  </w:divBdr>
                                                                                                                                  <w:divsChild>
                                                                                                                                    <w:div w:id="823358576">
                                                                                                                                      <w:marLeft w:val="0"/>
                                                                                                                                      <w:marRight w:val="0"/>
                                                                                                                                      <w:marTop w:val="0"/>
                                                                                                                                      <w:marBottom w:val="0"/>
                                                                                                                                      <w:divBdr>
                                                                                                                                        <w:top w:val="none" w:sz="0" w:space="0" w:color="auto"/>
                                                                                                                                        <w:left w:val="none" w:sz="0" w:space="0" w:color="auto"/>
                                                                                                                                        <w:bottom w:val="none" w:sz="0" w:space="0" w:color="auto"/>
                                                                                                                                        <w:right w:val="none" w:sz="0" w:space="0" w:color="auto"/>
                                                                                                                                      </w:divBdr>
                                                                                                                                    </w:div>
                                                                                                                                    <w:div w:id="823358596">
                                                                                                                                      <w:marLeft w:val="0"/>
                                                                                                                                      <w:marRight w:val="0"/>
                                                                                                                                      <w:marTop w:val="0"/>
                                                                                                                                      <w:marBottom w:val="0"/>
                                                                                                                                      <w:divBdr>
                                                                                                                                        <w:top w:val="none" w:sz="0" w:space="0" w:color="auto"/>
                                                                                                                                        <w:left w:val="none" w:sz="0" w:space="0" w:color="auto"/>
                                                                                                                                        <w:bottom w:val="none" w:sz="0" w:space="0" w:color="auto"/>
                                                                                                                                        <w:right w:val="none" w:sz="0" w:space="0" w:color="auto"/>
                                                                                                                                      </w:divBdr>
                                                                                                                                    </w:div>
                                                                                                                                    <w:div w:id="823358610">
                                                                                                                                      <w:marLeft w:val="0"/>
                                                                                                                                      <w:marRight w:val="0"/>
                                                                                                                                      <w:marTop w:val="0"/>
                                                                                                                                      <w:marBottom w:val="0"/>
                                                                                                                                      <w:divBdr>
                                                                                                                                        <w:top w:val="none" w:sz="0" w:space="0" w:color="auto"/>
                                                                                                                                        <w:left w:val="none" w:sz="0" w:space="0" w:color="auto"/>
                                                                                                                                        <w:bottom w:val="none" w:sz="0" w:space="0" w:color="auto"/>
                                                                                                                                        <w:right w:val="none" w:sz="0" w:space="0" w:color="auto"/>
                                                                                                                                      </w:divBdr>
                                                                                                                                    </w:div>
                                                                                                                                    <w:div w:id="823358629">
                                                                                                                                      <w:marLeft w:val="0"/>
                                                                                                                                      <w:marRight w:val="0"/>
                                                                                                                                      <w:marTop w:val="0"/>
                                                                                                                                      <w:marBottom w:val="0"/>
                                                                                                                                      <w:divBdr>
                                                                                                                                        <w:top w:val="none" w:sz="0" w:space="0" w:color="auto"/>
                                                                                                                                        <w:left w:val="none" w:sz="0" w:space="0" w:color="auto"/>
                                                                                                                                        <w:bottom w:val="none" w:sz="0" w:space="0" w:color="auto"/>
                                                                                                                                        <w:right w:val="none" w:sz="0" w:space="0" w:color="auto"/>
                                                                                                                                      </w:divBdr>
                                                                                                                                    </w:div>
                                                                                                                                    <w:div w:id="823358630">
                                                                                                                                      <w:marLeft w:val="0"/>
                                                                                                                                      <w:marRight w:val="0"/>
                                                                                                                                      <w:marTop w:val="0"/>
                                                                                                                                      <w:marBottom w:val="0"/>
                                                                                                                                      <w:divBdr>
                                                                                                                                        <w:top w:val="none" w:sz="0" w:space="0" w:color="auto"/>
                                                                                                                                        <w:left w:val="none" w:sz="0" w:space="0" w:color="auto"/>
                                                                                                                                        <w:bottom w:val="none" w:sz="0" w:space="0" w:color="auto"/>
                                                                                                                                        <w:right w:val="none" w:sz="0" w:space="0" w:color="auto"/>
                                                                                                                                      </w:divBdr>
                                                                                                                                    </w:div>
                                                                                                                                    <w:div w:id="823358647">
                                                                                                                                      <w:marLeft w:val="0"/>
                                                                                                                                      <w:marRight w:val="0"/>
                                                                                                                                      <w:marTop w:val="0"/>
                                                                                                                                      <w:marBottom w:val="0"/>
                                                                                                                                      <w:divBdr>
                                                                                                                                        <w:top w:val="none" w:sz="0" w:space="0" w:color="auto"/>
                                                                                                                                        <w:left w:val="none" w:sz="0" w:space="0" w:color="auto"/>
                                                                                                                                        <w:bottom w:val="none" w:sz="0" w:space="0" w:color="auto"/>
                                                                                                                                        <w:right w:val="none" w:sz="0" w:space="0" w:color="auto"/>
                                                                                                                                      </w:divBdr>
                                                                                                                                    </w:div>
                                                                                                                                    <w:div w:id="823358691">
                                                                                                                                      <w:marLeft w:val="0"/>
                                                                                                                                      <w:marRight w:val="0"/>
                                                                                                                                      <w:marTop w:val="0"/>
                                                                                                                                      <w:marBottom w:val="0"/>
                                                                                                                                      <w:divBdr>
                                                                                                                                        <w:top w:val="none" w:sz="0" w:space="0" w:color="auto"/>
                                                                                                                                        <w:left w:val="none" w:sz="0" w:space="0" w:color="auto"/>
                                                                                                                                        <w:bottom w:val="none" w:sz="0" w:space="0" w:color="auto"/>
                                                                                                                                        <w:right w:val="none" w:sz="0" w:space="0" w:color="auto"/>
                                                                                                                                      </w:divBdr>
                                                                                                                                    </w:div>
                                                                                                                                    <w:div w:id="823358734">
                                                                                                                                      <w:marLeft w:val="0"/>
                                                                                                                                      <w:marRight w:val="0"/>
                                                                                                                                      <w:marTop w:val="0"/>
                                                                                                                                      <w:marBottom w:val="0"/>
                                                                                                                                      <w:divBdr>
                                                                                                                                        <w:top w:val="none" w:sz="0" w:space="0" w:color="auto"/>
                                                                                                                                        <w:left w:val="none" w:sz="0" w:space="0" w:color="auto"/>
                                                                                                                                        <w:bottom w:val="none" w:sz="0" w:space="0" w:color="auto"/>
                                                                                                                                        <w:right w:val="none" w:sz="0" w:space="0" w:color="auto"/>
                                                                                                                                      </w:divBdr>
                                                                                                                                    </w:div>
                                                                                                                                    <w:div w:id="823358736">
                                                                                                                                      <w:marLeft w:val="0"/>
                                                                                                                                      <w:marRight w:val="0"/>
                                                                                                                                      <w:marTop w:val="0"/>
                                                                                                                                      <w:marBottom w:val="0"/>
                                                                                                                                      <w:divBdr>
                                                                                                                                        <w:top w:val="none" w:sz="0" w:space="0" w:color="auto"/>
                                                                                                                                        <w:left w:val="none" w:sz="0" w:space="0" w:color="auto"/>
                                                                                                                                        <w:bottom w:val="none" w:sz="0" w:space="0" w:color="auto"/>
                                                                                                                                        <w:right w:val="none" w:sz="0" w:space="0" w:color="auto"/>
                                                                                                                                      </w:divBdr>
                                                                                                                                      <w:divsChild>
                                                                                                                                        <w:div w:id="823358654">
                                                                                                                                          <w:marLeft w:val="0"/>
                                                                                                                                          <w:marRight w:val="0"/>
                                                                                                                                          <w:marTop w:val="0"/>
                                                                                                                                          <w:marBottom w:val="0"/>
                                                                                                                                          <w:divBdr>
                                                                                                                                            <w:top w:val="none" w:sz="0" w:space="0" w:color="auto"/>
                                                                                                                                            <w:left w:val="none" w:sz="0" w:space="0" w:color="auto"/>
                                                                                                                                            <w:bottom w:val="none" w:sz="0" w:space="0" w:color="auto"/>
                                                                                                                                            <w:right w:val="none" w:sz="0" w:space="0" w:color="auto"/>
                                                                                                                                          </w:divBdr>
                                                                                                                                          <w:divsChild>
                                                                                                                                            <w:div w:id="823358579">
                                                                                                                                              <w:marLeft w:val="0"/>
                                                                                                                                              <w:marRight w:val="0"/>
                                                                                                                                              <w:marTop w:val="0"/>
                                                                                                                                              <w:marBottom w:val="0"/>
                                                                                                                                              <w:divBdr>
                                                                                                                                                <w:top w:val="none" w:sz="0" w:space="0" w:color="auto"/>
                                                                                                                                                <w:left w:val="none" w:sz="0" w:space="0" w:color="auto"/>
                                                                                                                                                <w:bottom w:val="none" w:sz="0" w:space="0" w:color="auto"/>
                                                                                                                                                <w:right w:val="none" w:sz="0" w:space="0" w:color="auto"/>
                                                                                                                                              </w:divBdr>
                                                                                                                                              <w:divsChild>
                                                                                                                                                <w:div w:id="823358563">
                                                                                                                                                  <w:marLeft w:val="0"/>
                                                                                                                                                  <w:marRight w:val="0"/>
                                                                                                                                                  <w:marTop w:val="0"/>
                                                                                                                                                  <w:marBottom w:val="0"/>
                                                                                                                                                  <w:divBdr>
                                                                                                                                                    <w:top w:val="none" w:sz="0" w:space="0" w:color="auto"/>
                                                                                                                                                    <w:left w:val="none" w:sz="0" w:space="0" w:color="auto"/>
                                                                                                                                                    <w:bottom w:val="none" w:sz="0" w:space="0" w:color="auto"/>
                                                                                                                                                    <w:right w:val="none" w:sz="0" w:space="0" w:color="auto"/>
                                                                                                                                                  </w:divBdr>
                                                                                                                                                </w:div>
                                                                                                                                                <w:div w:id="823358598">
                                                                                                                                                  <w:marLeft w:val="0"/>
                                                                                                                                                  <w:marRight w:val="0"/>
                                                                                                                                                  <w:marTop w:val="0"/>
                                                                                                                                                  <w:marBottom w:val="0"/>
                                                                                                                                                  <w:divBdr>
                                                                                                                                                    <w:top w:val="none" w:sz="0" w:space="0" w:color="auto"/>
                                                                                                                                                    <w:left w:val="none" w:sz="0" w:space="0" w:color="auto"/>
                                                                                                                                                    <w:bottom w:val="none" w:sz="0" w:space="0" w:color="auto"/>
                                                                                                                                                    <w:right w:val="none" w:sz="0" w:space="0" w:color="auto"/>
                                                                                                                                                  </w:divBdr>
                                                                                                                                                </w:div>
                                                                                                                                                <w:div w:id="823358602">
                                                                                                                                                  <w:marLeft w:val="0"/>
                                                                                                                                                  <w:marRight w:val="0"/>
                                                                                                                                                  <w:marTop w:val="0"/>
                                                                                                                                                  <w:marBottom w:val="0"/>
                                                                                                                                                  <w:divBdr>
                                                                                                                                                    <w:top w:val="none" w:sz="0" w:space="0" w:color="auto"/>
                                                                                                                                                    <w:left w:val="none" w:sz="0" w:space="0" w:color="auto"/>
                                                                                                                                                    <w:bottom w:val="none" w:sz="0" w:space="0" w:color="auto"/>
                                                                                                                                                    <w:right w:val="none" w:sz="0" w:space="0" w:color="auto"/>
                                                                                                                                                  </w:divBdr>
                                                                                                                                                </w:div>
                                                                                                                                                <w:div w:id="823358656">
                                                                                                                                                  <w:marLeft w:val="0"/>
                                                                                                                                                  <w:marRight w:val="0"/>
                                                                                                                                                  <w:marTop w:val="0"/>
                                                                                                                                                  <w:marBottom w:val="0"/>
                                                                                                                                                  <w:divBdr>
                                                                                                                                                    <w:top w:val="none" w:sz="0" w:space="0" w:color="auto"/>
                                                                                                                                                    <w:left w:val="none" w:sz="0" w:space="0" w:color="auto"/>
                                                                                                                                                    <w:bottom w:val="none" w:sz="0" w:space="0" w:color="auto"/>
                                                                                                                                                    <w:right w:val="none" w:sz="0" w:space="0" w:color="auto"/>
                                                                                                                                                  </w:divBdr>
                                                                                                                                                </w:div>
                                                                                                                                                <w:div w:id="823358658">
                                                                                                                                                  <w:marLeft w:val="0"/>
                                                                                                                                                  <w:marRight w:val="0"/>
                                                                                                                                                  <w:marTop w:val="0"/>
                                                                                                                                                  <w:marBottom w:val="0"/>
                                                                                                                                                  <w:divBdr>
                                                                                                                                                    <w:top w:val="none" w:sz="0" w:space="0" w:color="auto"/>
                                                                                                                                                    <w:left w:val="none" w:sz="0" w:space="0" w:color="auto"/>
                                                                                                                                                    <w:bottom w:val="none" w:sz="0" w:space="0" w:color="auto"/>
                                                                                                                                                    <w:right w:val="none" w:sz="0" w:space="0" w:color="auto"/>
                                                                                                                                                  </w:divBdr>
                                                                                                                                                </w:div>
                                                                                                                                                <w:div w:id="823358666">
                                                                                                                                                  <w:marLeft w:val="0"/>
                                                                                                                                                  <w:marRight w:val="0"/>
                                                                                                                                                  <w:marTop w:val="0"/>
                                                                                                                                                  <w:marBottom w:val="0"/>
                                                                                                                                                  <w:divBdr>
                                                                                                                                                    <w:top w:val="none" w:sz="0" w:space="0" w:color="auto"/>
                                                                                                                                                    <w:left w:val="none" w:sz="0" w:space="0" w:color="auto"/>
                                                                                                                                                    <w:bottom w:val="none" w:sz="0" w:space="0" w:color="auto"/>
                                                                                                                                                    <w:right w:val="none" w:sz="0" w:space="0" w:color="auto"/>
                                                                                                                                                  </w:divBdr>
                                                                                                                                                </w:div>
                                                                                                                                                <w:div w:id="823358670">
                                                                                                                                                  <w:marLeft w:val="0"/>
                                                                                                                                                  <w:marRight w:val="0"/>
                                                                                                                                                  <w:marTop w:val="0"/>
                                                                                                                                                  <w:marBottom w:val="0"/>
                                                                                                                                                  <w:divBdr>
                                                                                                                                                    <w:top w:val="none" w:sz="0" w:space="0" w:color="auto"/>
                                                                                                                                                    <w:left w:val="none" w:sz="0" w:space="0" w:color="auto"/>
                                                                                                                                                    <w:bottom w:val="none" w:sz="0" w:space="0" w:color="auto"/>
                                                                                                                                                    <w:right w:val="none" w:sz="0" w:space="0" w:color="auto"/>
                                                                                                                                                  </w:divBdr>
                                                                                                                                                </w:div>
                                                                                                                                                <w:div w:id="823358677">
                                                                                                                                                  <w:marLeft w:val="0"/>
                                                                                                                                                  <w:marRight w:val="0"/>
                                                                                                                                                  <w:marTop w:val="0"/>
                                                                                                                                                  <w:marBottom w:val="0"/>
                                                                                                                                                  <w:divBdr>
                                                                                                                                                    <w:top w:val="none" w:sz="0" w:space="0" w:color="auto"/>
                                                                                                                                                    <w:left w:val="none" w:sz="0" w:space="0" w:color="auto"/>
                                                                                                                                                    <w:bottom w:val="none" w:sz="0" w:space="0" w:color="auto"/>
                                                                                                                                                    <w:right w:val="none" w:sz="0" w:space="0" w:color="auto"/>
                                                                                                                                                  </w:divBdr>
                                                                                                                                                </w:div>
                                                                                                                                                <w:div w:id="823358703">
                                                                                                                                                  <w:marLeft w:val="0"/>
                                                                                                                                                  <w:marRight w:val="0"/>
                                                                                                                                                  <w:marTop w:val="0"/>
                                                                                                                                                  <w:marBottom w:val="0"/>
                                                                                                                                                  <w:divBdr>
                                                                                                                                                    <w:top w:val="none" w:sz="0" w:space="0" w:color="auto"/>
                                                                                                                                                    <w:left w:val="none" w:sz="0" w:space="0" w:color="auto"/>
                                                                                                                                                    <w:bottom w:val="none" w:sz="0" w:space="0" w:color="auto"/>
                                                                                                                                                    <w:right w:val="none" w:sz="0" w:space="0" w:color="auto"/>
                                                                                                                                                  </w:divBdr>
                                                                                                                                                </w:div>
                                                                                                                                                <w:div w:id="823358710">
                                                                                                                                                  <w:marLeft w:val="0"/>
                                                                                                                                                  <w:marRight w:val="0"/>
                                                                                                                                                  <w:marTop w:val="0"/>
                                                                                                                                                  <w:marBottom w:val="0"/>
                                                                                                                                                  <w:divBdr>
                                                                                                                                                    <w:top w:val="none" w:sz="0" w:space="0" w:color="auto"/>
                                                                                                                                                    <w:left w:val="none" w:sz="0" w:space="0" w:color="auto"/>
                                                                                                                                                    <w:bottom w:val="none" w:sz="0" w:space="0" w:color="auto"/>
                                                                                                                                                    <w:right w:val="none" w:sz="0" w:space="0" w:color="auto"/>
                                                                                                                                                  </w:divBdr>
                                                                                                                                                </w:div>
                                                                                                                                                <w:div w:id="823358716">
                                                                                                                                                  <w:marLeft w:val="0"/>
                                                                                                                                                  <w:marRight w:val="0"/>
                                                                                                                                                  <w:marTop w:val="0"/>
                                                                                                                                                  <w:marBottom w:val="0"/>
                                                                                                                                                  <w:divBdr>
                                                                                                                                                    <w:top w:val="none" w:sz="0" w:space="0" w:color="auto"/>
                                                                                                                                                    <w:left w:val="none" w:sz="0" w:space="0" w:color="auto"/>
                                                                                                                                                    <w:bottom w:val="none" w:sz="0" w:space="0" w:color="auto"/>
                                                                                                                                                    <w:right w:val="none" w:sz="0" w:space="0" w:color="auto"/>
                                                                                                                                                  </w:divBdr>
                                                                                                                                                </w:div>
                                                                                                                                                <w:div w:id="8233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8649">
                                                                                                                          <w:marLeft w:val="0"/>
                                                                                                                          <w:marRight w:val="0"/>
                                                                                                                          <w:marTop w:val="0"/>
                                                                                                                          <w:marBottom w:val="0"/>
                                                                                                                          <w:divBdr>
                                                                                                                            <w:top w:val="none" w:sz="0" w:space="0" w:color="auto"/>
                                                                                                                            <w:left w:val="none" w:sz="0" w:space="0" w:color="auto"/>
                                                                                                                            <w:bottom w:val="none" w:sz="0" w:space="0" w:color="auto"/>
                                                                                                                            <w:right w:val="none" w:sz="0" w:space="0" w:color="auto"/>
                                                                                                                          </w:divBdr>
                                                                                                                        </w:div>
                                                                                                                        <w:div w:id="823358660">
                                                                                                                          <w:marLeft w:val="0"/>
                                                                                                                          <w:marRight w:val="0"/>
                                                                                                                          <w:marTop w:val="0"/>
                                                                                                                          <w:marBottom w:val="0"/>
                                                                                                                          <w:divBdr>
                                                                                                                            <w:top w:val="none" w:sz="0" w:space="0" w:color="auto"/>
                                                                                                                            <w:left w:val="none" w:sz="0" w:space="0" w:color="auto"/>
                                                                                                                            <w:bottom w:val="none" w:sz="0" w:space="0" w:color="auto"/>
                                                                                                                            <w:right w:val="none" w:sz="0" w:space="0" w:color="auto"/>
                                                                                                                          </w:divBdr>
                                                                                                                        </w:div>
                                                                                                                        <w:div w:id="823358661">
                                                                                                                          <w:marLeft w:val="0"/>
                                                                                                                          <w:marRight w:val="0"/>
                                                                                                                          <w:marTop w:val="0"/>
                                                                                                                          <w:marBottom w:val="0"/>
                                                                                                                          <w:divBdr>
                                                                                                                            <w:top w:val="none" w:sz="0" w:space="0" w:color="auto"/>
                                                                                                                            <w:left w:val="none" w:sz="0" w:space="0" w:color="auto"/>
                                                                                                                            <w:bottom w:val="none" w:sz="0" w:space="0" w:color="auto"/>
                                                                                                                            <w:right w:val="none" w:sz="0" w:space="0" w:color="auto"/>
                                                                                                                          </w:divBdr>
                                                                                                                        </w:div>
                                                                                                                        <w:div w:id="823358663">
                                                                                                                          <w:marLeft w:val="0"/>
                                                                                                                          <w:marRight w:val="0"/>
                                                                                                                          <w:marTop w:val="0"/>
                                                                                                                          <w:marBottom w:val="0"/>
                                                                                                                          <w:divBdr>
                                                                                                                            <w:top w:val="none" w:sz="0" w:space="0" w:color="auto"/>
                                                                                                                            <w:left w:val="none" w:sz="0" w:space="0" w:color="auto"/>
                                                                                                                            <w:bottom w:val="none" w:sz="0" w:space="0" w:color="auto"/>
                                                                                                                            <w:right w:val="none" w:sz="0" w:space="0" w:color="auto"/>
                                                                                                                          </w:divBdr>
                                                                                                                        </w:div>
                                                                                                                        <w:div w:id="823358681">
                                                                                                                          <w:marLeft w:val="0"/>
                                                                                                                          <w:marRight w:val="0"/>
                                                                                                                          <w:marTop w:val="0"/>
                                                                                                                          <w:marBottom w:val="0"/>
                                                                                                                          <w:divBdr>
                                                                                                                            <w:top w:val="none" w:sz="0" w:space="0" w:color="auto"/>
                                                                                                                            <w:left w:val="none" w:sz="0" w:space="0" w:color="auto"/>
                                                                                                                            <w:bottom w:val="none" w:sz="0" w:space="0" w:color="auto"/>
                                                                                                                            <w:right w:val="none" w:sz="0" w:space="0" w:color="auto"/>
                                                                                                                          </w:divBdr>
                                                                                                                        </w:div>
                                                                                                                        <w:div w:id="823358687">
                                                                                                                          <w:marLeft w:val="0"/>
                                                                                                                          <w:marRight w:val="0"/>
                                                                                                                          <w:marTop w:val="0"/>
                                                                                                                          <w:marBottom w:val="0"/>
                                                                                                                          <w:divBdr>
                                                                                                                            <w:top w:val="none" w:sz="0" w:space="0" w:color="auto"/>
                                                                                                                            <w:left w:val="none" w:sz="0" w:space="0" w:color="auto"/>
                                                                                                                            <w:bottom w:val="none" w:sz="0" w:space="0" w:color="auto"/>
                                                                                                                            <w:right w:val="none" w:sz="0" w:space="0" w:color="auto"/>
                                                                                                                          </w:divBdr>
                                                                                                                        </w:div>
                                                                                                                        <w:div w:id="823358688">
                                                                                                                          <w:marLeft w:val="0"/>
                                                                                                                          <w:marRight w:val="0"/>
                                                                                                                          <w:marTop w:val="0"/>
                                                                                                                          <w:marBottom w:val="0"/>
                                                                                                                          <w:divBdr>
                                                                                                                            <w:top w:val="none" w:sz="0" w:space="0" w:color="auto"/>
                                                                                                                            <w:left w:val="none" w:sz="0" w:space="0" w:color="auto"/>
                                                                                                                            <w:bottom w:val="none" w:sz="0" w:space="0" w:color="auto"/>
                                                                                                                            <w:right w:val="none" w:sz="0" w:space="0" w:color="auto"/>
                                                                                                                          </w:divBdr>
                                                                                                                        </w:div>
                                                                                                                        <w:div w:id="823358692">
                                                                                                                          <w:marLeft w:val="0"/>
                                                                                                                          <w:marRight w:val="0"/>
                                                                                                                          <w:marTop w:val="0"/>
                                                                                                                          <w:marBottom w:val="0"/>
                                                                                                                          <w:divBdr>
                                                                                                                            <w:top w:val="none" w:sz="0" w:space="0" w:color="auto"/>
                                                                                                                            <w:left w:val="none" w:sz="0" w:space="0" w:color="auto"/>
                                                                                                                            <w:bottom w:val="none" w:sz="0" w:space="0" w:color="auto"/>
                                                                                                                            <w:right w:val="none" w:sz="0" w:space="0" w:color="auto"/>
                                                                                                                          </w:divBdr>
                                                                                                                        </w:div>
                                                                                                                        <w:div w:id="823358695">
                                                                                                                          <w:marLeft w:val="0"/>
                                                                                                                          <w:marRight w:val="0"/>
                                                                                                                          <w:marTop w:val="0"/>
                                                                                                                          <w:marBottom w:val="0"/>
                                                                                                                          <w:divBdr>
                                                                                                                            <w:top w:val="none" w:sz="0" w:space="0" w:color="auto"/>
                                                                                                                            <w:left w:val="none" w:sz="0" w:space="0" w:color="auto"/>
                                                                                                                            <w:bottom w:val="none" w:sz="0" w:space="0" w:color="auto"/>
                                                                                                                            <w:right w:val="none" w:sz="0" w:space="0" w:color="auto"/>
                                                                                                                          </w:divBdr>
                                                                                                                        </w:div>
                                                                                                                        <w:div w:id="823358702">
                                                                                                                          <w:marLeft w:val="0"/>
                                                                                                                          <w:marRight w:val="0"/>
                                                                                                                          <w:marTop w:val="0"/>
                                                                                                                          <w:marBottom w:val="0"/>
                                                                                                                          <w:divBdr>
                                                                                                                            <w:top w:val="none" w:sz="0" w:space="0" w:color="auto"/>
                                                                                                                            <w:left w:val="none" w:sz="0" w:space="0" w:color="auto"/>
                                                                                                                            <w:bottom w:val="none" w:sz="0" w:space="0" w:color="auto"/>
                                                                                                                            <w:right w:val="none" w:sz="0" w:space="0" w:color="auto"/>
                                                                                                                          </w:divBdr>
                                                                                                                        </w:div>
                                                                                                                        <w:div w:id="823358709">
                                                                                                                          <w:marLeft w:val="0"/>
                                                                                                                          <w:marRight w:val="0"/>
                                                                                                                          <w:marTop w:val="0"/>
                                                                                                                          <w:marBottom w:val="0"/>
                                                                                                                          <w:divBdr>
                                                                                                                            <w:top w:val="none" w:sz="0" w:space="0" w:color="auto"/>
                                                                                                                            <w:left w:val="none" w:sz="0" w:space="0" w:color="auto"/>
                                                                                                                            <w:bottom w:val="none" w:sz="0" w:space="0" w:color="auto"/>
                                                                                                                            <w:right w:val="none" w:sz="0" w:space="0" w:color="auto"/>
                                                                                                                          </w:divBdr>
                                                                                                                        </w:div>
                                                                                                                        <w:div w:id="823358724">
                                                                                                                          <w:marLeft w:val="0"/>
                                                                                                                          <w:marRight w:val="0"/>
                                                                                                                          <w:marTop w:val="0"/>
                                                                                                                          <w:marBottom w:val="0"/>
                                                                                                                          <w:divBdr>
                                                                                                                            <w:top w:val="none" w:sz="0" w:space="0" w:color="auto"/>
                                                                                                                            <w:left w:val="none" w:sz="0" w:space="0" w:color="auto"/>
                                                                                                                            <w:bottom w:val="none" w:sz="0" w:space="0" w:color="auto"/>
                                                                                                                            <w:right w:val="none" w:sz="0" w:space="0" w:color="auto"/>
                                                                                                                          </w:divBdr>
                                                                                                                        </w:div>
                                                                                                                        <w:div w:id="823358727">
                                                                                                                          <w:marLeft w:val="0"/>
                                                                                                                          <w:marRight w:val="0"/>
                                                                                                                          <w:marTop w:val="0"/>
                                                                                                                          <w:marBottom w:val="0"/>
                                                                                                                          <w:divBdr>
                                                                                                                            <w:top w:val="none" w:sz="0" w:space="0" w:color="auto"/>
                                                                                                                            <w:left w:val="none" w:sz="0" w:space="0" w:color="auto"/>
                                                                                                                            <w:bottom w:val="none" w:sz="0" w:space="0" w:color="auto"/>
                                                                                                                            <w:right w:val="none" w:sz="0" w:space="0" w:color="auto"/>
                                                                                                                          </w:divBdr>
                                                                                                                        </w:div>
                                                                                                                        <w:div w:id="82335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358652">
                                                                                                          <w:marLeft w:val="0"/>
                                                                                                          <w:marRight w:val="0"/>
                                                                                                          <w:marTop w:val="0"/>
                                                                                                          <w:marBottom w:val="0"/>
                                                                                                          <w:divBdr>
                                                                                                            <w:top w:val="none" w:sz="0" w:space="0" w:color="auto"/>
                                                                                                            <w:left w:val="none" w:sz="0" w:space="0" w:color="auto"/>
                                                                                                            <w:bottom w:val="none" w:sz="0" w:space="0" w:color="auto"/>
                                                                                                            <w:right w:val="none" w:sz="0" w:space="0" w:color="auto"/>
                                                                                                          </w:divBdr>
                                                                                                        </w:div>
                                                                                                        <w:div w:id="823358657">
                                                                                                          <w:marLeft w:val="0"/>
                                                                                                          <w:marRight w:val="0"/>
                                                                                                          <w:marTop w:val="0"/>
                                                                                                          <w:marBottom w:val="0"/>
                                                                                                          <w:divBdr>
                                                                                                            <w:top w:val="none" w:sz="0" w:space="0" w:color="auto"/>
                                                                                                            <w:left w:val="none" w:sz="0" w:space="0" w:color="auto"/>
                                                                                                            <w:bottom w:val="none" w:sz="0" w:space="0" w:color="auto"/>
                                                                                                            <w:right w:val="none" w:sz="0" w:space="0" w:color="auto"/>
                                                                                                          </w:divBdr>
                                                                                                        </w:div>
                                                                                                        <w:div w:id="823358667">
                                                                                                          <w:marLeft w:val="0"/>
                                                                                                          <w:marRight w:val="0"/>
                                                                                                          <w:marTop w:val="0"/>
                                                                                                          <w:marBottom w:val="0"/>
                                                                                                          <w:divBdr>
                                                                                                            <w:top w:val="none" w:sz="0" w:space="0" w:color="auto"/>
                                                                                                            <w:left w:val="none" w:sz="0" w:space="0" w:color="auto"/>
                                                                                                            <w:bottom w:val="none" w:sz="0" w:space="0" w:color="auto"/>
                                                                                                            <w:right w:val="none" w:sz="0" w:space="0" w:color="auto"/>
                                                                                                          </w:divBdr>
                                                                                                        </w:div>
                                                                                                        <w:div w:id="823358723">
                                                                                                          <w:marLeft w:val="0"/>
                                                                                                          <w:marRight w:val="0"/>
                                                                                                          <w:marTop w:val="0"/>
                                                                                                          <w:marBottom w:val="0"/>
                                                                                                          <w:divBdr>
                                                                                                            <w:top w:val="none" w:sz="0" w:space="0" w:color="auto"/>
                                                                                                            <w:left w:val="none" w:sz="0" w:space="0" w:color="auto"/>
                                                                                                            <w:bottom w:val="none" w:sz="0" w:space="0" w:color="auto"/>
                                                                                                            <w:right w:val="none" w:sz="0" w:space="0" w:color="auto"/>
                                                                                                          </w:divBdr>
                                                                                                        </w:div>
                                                                                                        <w:div w:id="8233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8676">
                                                                                              <w:marLeft w:val="0"/>
                                                                                              <w:marRight w:val="0"/>
                                                                                              <w:marTop w:val="0"/>
                                                                                              <w:marBottom w:val="0"/>
                                                                                              <w:divBdr>
                                                                                                <w:top w:val="none" w:sz="0" w:space="0" w:color="auto"/>
                                                                                                <w:left w:val="none" w:sz="0" w:space="0" w:color="auto"/>
                                                                                                <w:bottom w:val="none" w:sz="0" w:space="0" w:color="auto"/>
                                                                                                <w:right w:val="none" w:sz="0" w:space="0" w:color="auto"/>
                                                                                              </w:divBdr>
                                                                                            </w:div>
                                                                                            <w:div w:id="823358689">
                                                                                              <w:marLeft w:val="0"/>
                                                                                              <w:marRight w:val="0"/>
                                                                                              <w:marTop w:val="0"/>
                                                                                              <w:marBottom w:val="0"/>
                                                                                              <w:divBdr>
                                                                                                <w:top w:val="none" w:sz="0" w:space="0" w:color="auto"/>
                                                                                                <w:left w:val="none" w:sz="0" w:space="0" w:color="auto"/>
                                                                                                <w:bottom w:val="none" w:sz="0" w:space="0" w:color="auto"/>
                                                                                                <w:right w:val="none" w:sz="0" w:space="0" w:color="auto"/>
                                                                                              </w:divBdr>
                                                                                            </w:div>
                                                                                            <w:div w:id="823358700">
                                                                                              <w:marLeft w:val="0"/>
                                                                                              <w:marRight w:val="0"/>
                                                                                              <w:marTop w:val="0"/>
                                                                                              <w:marBottom w:val="0"/>
                                                                                              <w:divBdr>
                                                                                                <w:top w:val="none" w:sz="0" w:space="0" w:color="auto"/>
                                                                                                <w:left w:val="none" w:sz="0" w:space="0" w:color="auto"/>
                                                                                                <w:bottom w:val="none" w:sz="0" w:space="0" w:color="auto"/>
                                                                                                <w:right w:val="none" w:sz="0" w:space="0" w:color="auto"/>
                                                                                              </w:divBdr>
                                                                                            </w:div>
                                                                                            <w:div w:id="823358704">
                                                                                              <w:marLeft w:val="0"/>
                                                                                              <w:marRight w:val="0"/>
                                                                                              <w:marTop w:val="0"/>
                                                                                              <w:marBottom w:val="0"/>
                                                                                              <w:divBdr>
                                                                                                <w:top w:val="none" w:sz="0" w:space="0" w:color="auto"/>
                                                                                                <w:left w:val="none" w:sz="0" w:space="0" w:color="auto"/>
                                                                                                <w:bottom w:val="none" w:sz="0" w:space="0" w:color="auto"/>
                                                                                                <w:right w:val="none" w:sz="0" w:space="0" w:color="auto"/>
                                                                                              </w:divBdr>
                                                                                            </w:div>
                                                                                            <w:div w:id="823358714">
                                                                                              <w:marLeft w:val="0"/>
                                                                                              <w:marRight w:val="0"/>
                                                                                              <w:marTop w:val="0"/>
                                                                                              <w:marBottom w:val="0"/>
                                                                                              <w:divBdr>
                                                                                                <w:top w:val="none" w:sz="0" w:space="0" w:color="auto"/>
                                                                                                <w:left w:val="none" w:sz="0" w:space="0" w:color="auto"/>
                                                                                                <w:bottom w:val="none" w:sz="0" w:space="0" w:color="auto"/>
                                                                                                <w:right w:val="none" w:sz="0" w:space="0" w:color="auto"/>
                                                                                              </w:divBdr>
                                                                                            </w:div>
                                                                                            <w:div w:id="823358732">
                                                                                              <w:marLeft w:val="0"/>
                                                                                              <w:marRight w:val="0"/>
                                                                                              <w:marTop w:val="0"/>
                                                                                              <w:marBottom w:val="0"/>
                                                                                              <w:divBdr>
                                                                                                <w:top w:val="none" w:sz="0" w:space="0" w:color="auto"/>
                                                                                                <w:left w:val="none" w:sz="0" w:space="0" w:color="auto"/>
                                                                                                <w:bottom w:val="none" w:sz="0" w:space="0" w:color="auto"/>
                                                                                                <w:right w:val="none" w:sz="0" w:space="0" w:color="auto"/>
                                                                                              </w:divBdr>
                                                                                            </w:div>
                                                                                          </w:divsChild>
                                                                                        </w:div>
                                                                                        <w:div w:id="823358680">
                                                                                          <w:marLeft w:val="0"/>
                                                                                          <w:marRight w:val="0"/>
                                                                                          <w:marTop w:val="0"/>
                                                                                          <w:marBottom w:val="0"/>
                                                                                          <w:divBdr>
                                                                                            <w:top w:val="none" w:sz="0" w:space="0" w:color="auto"/>
                                                                                            <w:left w:val="none" w:sz="0" w:space="0" w:color="auto"/>
                                                                                            <w:bottom w:val="none" w:sz="0" w:space="0" w:color="auto"/>
                                                                                            <w:right w:val="none" w:sz="0" w:space="0" w:color="auto"/>
                                                                                          </w:divBdr>
                                                                                        </w:div>
                                                                                        <w:div w:id="823358696">
                                                                                          <w:marLeft w:val="0"/>
                                                                                          <w:marRight w:val="0"/>
                                                                                          <w:marTop w:val="0"/>
                                                                                          <w:marBottom w:val="0"/>
                                                                                          <w:divBdr>
                                                                                            <w:top w:val="none" w:sz="0" w:space="0" w:color="auto"/>
                                                                                            <w:left w:val="none" w:sz="0" w:space="0" w:color="auto"/>
                                                                                            <w:bottom w:val="none" w:sz="0" w:space="0" w:color="auto"/>
                                                                                            <w:right w:val="none" w:sz="0" w:space="0" w:color="auto"/>
                                                                                          </w:divBdr>
                                                                                        </w:div>
                                                                                        <w:div w:id="823358697">
                                                                                          <w:marLeft w:val="0"/>
                                                                                          <w:marRight w:val="0"/>
                                                                                          <w:marTop w:val="0"/>
                                                                                          <w:marBottom w:val="0"/>
                                                                                          <w:divBdr>
                                                                                            <w:top w:val="none" w:sz="0" w:space="0" w:color="auto"/>
                                                                                            <w:left w:val="none" w:sz="0" w:space="0" w:color="auto"/>
                                                                                            <w:bottom w:val="none" w:sz="0" w:space="0" w:color="auto"/>
                                                                                            <w:right w:val="none" w:sz="0" w:space="0" w:color="auto"/>
                                                                                          </w:divBdr>
                                                                                        </w:div>
                                                                                        <w:div w:id="823358713">
                                                                                          <w:marLeft w:val="0"/>
                                                                                          <w:marRight w:val="0"/>
                                                                                          <w:marTop w:val="0"/>
                                                                                          <w:marBottom w:val="0"/>
                                                                                          <w:divBdr>
                                                                                            <w:top w:val="none" w:sz="0" w:space="0" w:color="auto"/>
                                                                                            <w:left w:val="none" w:sz="0" w:space="0" w:color="auto"/>
                                                                                            <w:bottom w:val="none" w:sz="0" w:space="0" w:color="auto"/>
                                                                                            <w:right w:val="none" w:sz="0" w:space="0" w:color="auto"/>
                                                                                          </w:divBdr>
                                                                                        </w:div>
                                                                                        <w:div w:id="823358720">
                                                                                          <w:marLeft w:val="0"/>
                                                                                          <w:marRight w:val="0"/>
                                                                                          <w:marTop w:val="0"/>
                                                                                          <w:marBottom w:val="0"/>
                                                                                          <w:divBdr>
                                                                                            <w:top w:val="none" w:sz="0" w:space="0" w:color="auto"/>
                                                                                            <w:left w:val="none" w:sz="0" w:space="0" w:color="auto"/>
                                                                                            <w:bottom w:val="none" w:sz="0" w:space="0" w:color="auto"/>
                                                                                            <w:right w:val="none" w:sz="0" w:space="0" w:color="auto"/>
                                                                                          </w:divBdr>
                                                                                        </w:div>
                                                                                        <w:div w:id="8233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8590">
                                                                              <w:marLeft w:val="0"/>
                                                                              <w:marRight w:val="0"/>
                                                                              <w:marTop w:val="0"/>
                                                                              <w:marBottom w:val="0"/>
                                                                              <w:divBdr>
                                                                                <w:top w:val="none" w:sz="0" w:space="0" w:color="auto"/>
                                                                                <w:left w:val="none" w:sz="0" w:space="0" w:color="auto"/>
                                                                                <w:bottom w:val="none" w:sz="0" w:space="0" w:color="auto"/>
                                                                                <w:right w:val="none" w:sz="0" w:space="0" w:color="auto"/>
                                                                              </w:divBdr>
                                                                            </w:div>
                                                                            <w:div w:id="823358599">
                                                                              <w:marLeft w:val="0"/>
                                                                              <w:marRight w:val="0"/>
                                                                              <w:marTop w:val="0"/>
                                                                              <w:marBottom w:val="0"/>
                                                                              <w:divBdr>
                                                                                <w:top w:val="none" w:sz="0" w:space="0" w:color="auto"/>
                                                                                <w:left w:val="none" w:sz="0" w:space="0" w:color="auto"/>
                                                                                <w:bottom w:val="none" w:sz="0" w:space="0" w:color="auto"/>
                                                                                <w:right w:val="none" w:sz="0" w:space="0" w:color="auto"/>
                                                                              </w:divBdr>
                                                                            </w:div>
                                                                            <w:div w:id="823358620">
                                                                              <w:marLeft w:val="0"/>
                                                                              <w:marRight w:val="0"/>
                                                                              <w:marTop w:val="0"/>
                                                                              <w:marBottom w:val="0"/>
                                                                              <w:divBdr>
                                                                                <w:top w:val="none" w:sz="0" w:space="0" w:color="auto"/>
                                                                                <w:left w:val="none" w:sz="0" w:space="0" w:color="auto"/>
                                                                                <w:bottom w:val="none" w:sz="0" w:space="0" w:color="auto"/>
                                                                                <w:right w:val="none" w:sz="0" w:space="0" w:color="auto"/>
                                                                              </w:divBdr>
                                                                            </w:div>
                                                                            <w:div w:id="823358623">
                                                                              <w:marLeft w:val="0"/>
                                                                              <w:marRight w:val="0"/>
                                                                              <w:marTop w:val="0"/>
                                                                              <w:marBottom w:val="0"/>
                                                                              <w:divBdr>
                                                                                <w:top w:val="none" w:sz="0" w:space="0" w:color="auto"/>
                                                                                <w:left w:val="none" w:sz="0" w:space="0" w:color="auto"/>
                                                                                <w:bottom w:val="none" w:sz="0" w:space="0" w:color="auto"/>
                                                                                <w:right w:val="none" w:sz="0" w:space="0" w:color="auto"/>
                                                                              </w:divBdr>
                                                                            </w:div>
                                                                            <w:div w:id="823358633">
                                                                              <w:marLeft w:val="0"/>
                                                                              <w:marRight w:val="0"/>
                                                                              <w:marTop w:val="0"/>
                                                                              <w:marBottom w:val="0"/>
                                                                              <w:divBdr>
                                                                                <w:top w:val="none" w:sz="0" w:space="0" w:color="auto"/>
                                                                                <w:left w:val="none" w:sz="0" w:space="0" w:color="auto"/>
                                                                                <w:bottom w:val="none" w:sz="0" w:space="0" w:color="auto"/>
                                                                                <w:right w:val="none" w:sz="0" w:space="0" w:color="auto"/>
                                                                              </w:divBdr>
                                                                            </w:div>
                                                                            <w:div w:id="823358637">
                                                                              <w:marLeft w:val="0"/>
                                                                              <w:marRight w:val="0"/>
                                                                              <w:marTop w:val="0"/>
                                                                              <w:marBottom w:val="0"/>
                                                                              <w:divBdr>
                                                                                <w:top w:val="none" w:sz="0" w:space="0" w:color="auto"/>
                                                                                <w:left w:val="none" w:sz="0" w:space="0" w:color="auto"/>
                                                                                <w:bottom w:val="none" w:sz="0" w:space="0" w:color="auto"/>
                                                                                <w:right w:val="none" w:sz="0" w:space="0" w:color="auto"/>
                                                                              </w:divBdr>
                                                                            </w:div>
                                                                            <w:div w:id="823358659">
                                                                              <w:marLeft w:val="0"/>
                                                                              <w:marRight w:val="0"/>
                                                                              <w:marTop w:val="0"/>
                                                                              <w:marBottom w:val="0"/>
                                                                              <w:divBdr>
                                                                                <w:top w:val="none" w:sz="0" w:space="0" w:color="auto"/>
                                                                                <w:left w:val="none" w:sz="0" w:space="0" w:color="auto"/>
                                                                                <w:bottom w:val="none" w:sz="0" w:space="0" w:color="auto"/>
                                                                                <w:right w:val="none" w:sz="0" w:space="0" w:color="auto"/>
                                                                              </w:divBdr>
                                                                            </w:div>
                                                                            <w:div w:id="823358683">
                                                                              <w:marLeft w:val="0"/>
                                                                              <w:marRight w:val="0"/>
                                                                              <w:marTop w:val="0"/>
                                                                              <w:marBottom w:val="0"/>
                                                                              <w:divBdr>
                                                                                <w:top w:val="none" w:sz="0" w:space="0" w:color="auto"/>
                                                                                <w:left w:val="none" w:sz="0" w:space="0" w:color="auto"/>
                                                                                <w:bottom w:val="none" w:sz="0" w:space="0" w:color="auto"/>
                                                                                <w:right w:val="none" w:sz="0" w:space="0" w:color="auto"/>
                                                                              </w:divBdr>
                                                                            </w:div>
                                                                            <w:div w:id="823358684">
                                                                              <w:marLeft w:val="0"/>
                                                                              <w:marRight w:val="0"/>
                                                                              <w:marTop w:val="0"/>
                                                                              <w:marBottom w:val="0"/>
                                                                              <w:divBdr>
                                                                                <w:top w:val="none" w:sz="0" w:space="0" w:color="auto"/>
                                                                                <w:left w:val="none" w:sz="0" w:space="0" w:color="auto"/>
                                                                                <w:bottom w:val="none" w:sz="0" w:space="0" w:color="auto"/>
                                                                                <w:right w:val="none" w:sz="0" w:space="0" w:color="auto"/>
                                                                              </w:divBdr>
                                                                            </w:div>
                                                                            <w:div w:id="823358693">
                                                                              <w:marLeft w:val="0"/>
                                                                              <w:marRight w:val="0"/>
                                                                              <w:marTop w:val="0"/>
                                                                              <w:marBottom w:val="0"/>
                                                                              <w:divBdr>
                                                                                <w:top w:val="none" w:sz="0" w:space="0" w:color="auto"/>
                                                                                <w:left w:val="none" w:sz="0" w:space="0" w:color="auto"/>
                                                                                <w:bottom w:val="none" w:sz="0" w:space="0" w:color="auto"/>
                                                                                <w:right w:val="none" w:sz="0" w:space="0" w:color="auto"/>
                                                                              </w:divBdr>
                                                                            </w:div>
                                                                            <w:div w:id="823358694">
                                                                              <w:marLeft w:val="0"/>
                                                                              <w:marRight w:val="0"/>
                                                                              <w:marTop w:val="0"/>
                                                                              <w:marBottom w:val="0"/>
                                                                              <w:divBdr>
                                                                                <w:top w:val="none" w:sz="0" w:space="0" w:color="auto"/>
                                                                                <w:left w:val="none" w:sz="0" w:space="0" w:color="auto"/>
                                                                                <w:bottom w:val="none" w:sz="0" w:space="0" w:color="auto"/>
                                                                                <w:right w:val="none" w:sz="0" w:space="0" w:color="auto"/>
                                                                              </w:divBdr>
                                                                            </w:div>
                                                                            <w:div w:id="823358701">
                                                                              <w:marLeft w:val="0"/>
                                                                              <w:marRight w:val="0"/>
                                                                              <w:marTop w:val="0"/>
                                                                              <w:marBottom w:val="0"/>
                                                                              <w:divBdr>
                                                                                <w:top w:val="none" w:sz="0" w:space="0" w:color="auto"/>
                                                                                <w:left w:val="none" w:sz="0" w:space="0" w:color="auto"/>
                                                                                <w:bottom w:val="none" w:sz="0" w:space="0" w:color="auto"/>
                                                                                <w:right w:val="none" w:sz="0" w:space="0" w:color="auto"/>
                                                                              </w:divBdr>
                                                                            </w:div>
                                                                            <w:div w:id="823358706">
                                                                              <w:marLeft w:val="0"/>
                                                                              <w:marRight w:val="0"/>
                                                                              <w:marTop w:val="0"/>
                                                                              <w:marBottom w:val="0"/>
                                                                              <w:divBdr>
                                                                                <w:top w:val="none" w:sz="0" w:space="0" w:color="auto"/>
                                                                                <w:left w:val="none" w:sz="0" w:space="0" w:color="auto"/>
                                                                                <w:bottom w:val="none" w:sz="0" w:space="0" w:color="auto"/>
                                                                                <w:right w:val="none" w:sz="0" w:space="0" w:color="auto"/>
                                                                              </w:divBdr>
                                                                            </w:div>
                                                                            <w:div w:id="823358717">
                                                                              <w:marLeft w:val="0"/>
                                                                              <w:marRight w:val="0"/>
                                                                              <w:marTop w:val="0"/>
                                                                              <w:marBottom w:val="0"/>
                                                                              <w:divBdr>
                                                                                <w:top w:val="none" w:sz="0" w:space="0" w:color="auto"/>
                                                                                <w:left w:val="none" w:sz="0" w:space="0" w:color="auto"/>
                                                                                <w:bottom w:val="none" w:sz="0" w:space="0" w:color="auto"/>
                                                                                <w:right w:val="none" w:sz="0" w:space="0" w:color="auto"/>
                                                                              </w:divBdr>
                                                                            </w:div>
                                                                            <w:div w:id="823358722">
                                                                              <w:marLeft w:val="0"/>
                                                                              <w:marRight w:val="0"/>
                                                                              <w:marTop w:val="0"/>
                                                                              <w:marBottom w:val="0"/>
                                                                              <w:divBdr>
                                                                                <w:top w:val="none" w:sz="0" w:space="0" w:color="auto"/>
                                                                                <w:left w:val="none" w:sz="0" w:space="0" w:color="auto"/>
                                                                                <w:bottom w:val="none" w:sz="0" w:space="0" w:color="auto"/>
                                                                                <w:right w:val="none" w:sz="0" w:space="0" w:color="auto"/>
                                                                              </w:divBdr>
                                                                            </w:div>
                                                                            <w:div w:id="823358730">
                                                                              <w:marLeft w:val="0"/>
                                                                              <w:marRight w:val="0"/>
                                                                              <w:marTop w:val="0"/>
                                                                              <w:marBottom w:val="0"/>
                                                                              <w:divBdr>
                                                                                <w:top w:val="none" w:sz="0" w:space="0" w:color="auto"/>
                                                                                <w:left w:val="none" w:sz="0" w:space="0" w:color="auto"/>
                                                                                <w:bottom w:val="none" w:sz="0" w:space="0" w:color="auto"/>
                                                                                <w:right w:val="none" w:sz="0" w:space="0" w:color="auto"/>
                                                                              </w:divBdr>
                                                                            </w:div>
                                                                            <w:div w:id="823358735">
                                                                              <w:marLeft w:val="0"/>
                                                                              <w:marRight w:val="0"/>
                                                                              <w:marTop w:val="0"/>
                                                                              <w:marBottom w:val="0"/>
                                                                              <w:divBdr>
                                                                                <w:top w:val="none" w:sz="0" w:space="0" w:color="auto"/>
                                                                                <w:left w:val="none" w:sz="0" w:space="0" w:color="auto"/>
                                                                                <w:bottom w:val="none" w:sz="0" w:space="0" w:color="auto"/>
                                                                                <w:right w:val="none" w:sz="0" w:space="0" w:color="auto"/>
                                                                              </w:divBdr>
                                                                            </w:div>
                                                                            <w:div w:id="8233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8595">
                                                                  <w:marLeft w:val="0"/>
                                                                  <w:marRight w:val="0"/>
                                                                  <w:marTop w:val="0"/>
                                                                  <w:marBottom w:val="0"/>
                                                                  <w:divBdr>
                                                                    <w:top w:val="none" w:sz="0" w:space="0" w:color="auto"/>
                                                                    <w:left w:val="none" w:sz="0" w:space="0" w:color="auto"/>
                                                                    <w:bottom w:val="none" w:sz="0" w:space="0" w:color="auto"/>
                                                                    <w:right w:val="none" w:sz="0" w:space="0" w:color="auto"/>
                                                                  </w:divBdr>
                                                                </w:div>
                                                                <w:div w:id="823358617">
                                                                  <w:marLeft w:val="0"/>
                                                                  <w:marRight w:val="0"/>
                                                                  <w:marTop w:val="0"/>
                                                                  <w:marBottom w:val="0"/>
                                                                  <w:divBdr>
                                                                    <w:top w:val="none" w:sz="0" w:space="0" w:color="auto"/>
                                                                    <w:left w:val="none" w:sz="0" w:space="0" w:color="auto"/>
                                                                    <w:bottom w:val="none" w:sz="0" w:space="0" w:color="auto"/>
                                                                    <w:right w:val="none" w:sz="0" w:space="0" w:color="auto"/>
                                                                  </w:divBdr>
                                                                </w:div>
                                                                <w:div w:id="823358621">
                                                                  <w:marLeft w:val="0"/>
                                                                  <w:marRight w:val="0"/>
                                                                  <w:marTop w:val="0"/>
                                                                  <w:marBottom w:val="0"/>
                                                                  <w:divBdr>
                                                                    <w:top w:val="none" w:sz="0" w:space="0" w:color="auto"/>
                                                                    <w:left w:val="none" w:sz="0" w:space="0" w:color="auto"/>
                                                                    <w:bottom w:val="none" w:sz="0" w:space="0" w:color="auto"/>
                                                                    <w:right w:val="none" w:sz="0" w:space="0" w:color="auto"/>
                                                                  </w:divBdr>
                                                                </w:div>
                                                                <w:div w:id="823358638">
                                                                  <w:marLeft w:val="0"/>
                                                                  <w:marRight w:val="0"/>
                                                                  <w:marTop w:val="0"/>
                                                                  <w:marBottom w:val="0"/>
                                                                  <w:divBdr>
                                                                    <w:top w:val="none" w:sz="0" w:space="0" w:color="auto"/>
                                                                    <w:left w:val="none" w:sz="0" w:space="0" w:color="auto"/>
                                                                    <w:bottom w:val="none" w:sz="0" w:space="0" w:color="auto"/>
                                                                    <w:right w:val="none" w:sz="0" w:space="0" w:color="auto"/>
                                                                  </w:divBdr>
                                                                </w:div>
                                                                <w:div w:id="823358642">
                                                                  <w:marLeft w:val="0"/>
                                                                  <w:marRight w:val="0"/>
                                                                  <w:marTop w:val="0"/>
                                                                  <w:marBottom w:val="0"/>
                                                                  <w:divBdr>
                                                                    <w:top w:val="none" w:sz="0" w:space="0" w:color="auto"/>
                                                                    <w:left w:val="none" w:sz="0" w:space="0" w:color="auto"/>
                                                                    <w:bottom w:val="none" w:sz="0" w:space="0" w:color="auto"/>
                                                                    <w:right w:val="none" w:sz="0" w:space="0" w:color="auto"/>
                                                                  </w:divBdr>
                                                                </w:div>
                                                                <w:div w:id="823358686">
                                                                  <w:marLeft w:val="0"/>
                                                                  <w:marRight w:val="0"/>
                                                                  <w:marTop w:val="0"/>
                                                                  <w:marBottom w:val="0"/>
                                                                  <w:divBdr>
                                                                    <w:top w:val="none" w:sz="0" w:space="0" w:color="auto"/>
                                                                    <w:left w:val="none" w:sz="0" w:space="0" w:color="auto"/>
                                                                    <w:bottom w:val="none" w:sz="0" w:space="0" w:color="auto"/>
                                                                    <w:right w:val="none" w:sz="0" w:space="0" w:color="auto"/>
                                                                  </w:divBdr>
                                                                </w:div>
                                                                <w:div w:id="8233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8583">
                                                      <w:marLeft w:val="0"/>
                                                      <w:marRight w:val="0"/>
                                                      <w:marTop w:val="0"/>
                                                      <w:marBottom w:val="0"/>
                                                      <w:divBdr>
                                                        <w:top w:val="none" w:sz="0" w:space="0" w:color="auto"/>
                                                        <w:left w:val="none" w:sz="0" w:space="0" w:color="auto"/>
                                                        <w:bottom w:val="none" w:sz="0" w:space="0" w:color="auto"/>
                                                        <w:right w:val="none" w:sz="0" w:space="0" w:color="auto"/>
                                                      </w:divBdr>
                                                    </w:div>
                                                    <w:div w:id="823358587">
                                                      <w:marLeft w:val="0"/>
                                                      <w:marRight w:val="0"/>
                                                      <w:marTop w:val="0"/>
                                                      <w:marBottom w:val="0"/>
                                                      <w:divBdr>
                                                        <w:top w:val="none" w:sz="0" w:space="0" w:color="auto"/>
                                                        <w:left w:val="none" w:sz="0" w:space="0" w:color="auto"/>
                                                        <w:bottom w:val="none" w:sz="0" w:space="0" w:color="auto"/>
                                                        <w:right w:val="none" w:sz="0" w:space="0" w:color="auto"/>
                                                      </w:divBdr>
                                                    </w:div>
                                                    <w:div w:id="823358690">
                                                      <w:marLeft w:val="0"/>
                                                      <w:marRight w:val="0"/>
                                                      <w:marTop w:val="0"/>
                                                      <w:marBottom w:val="0"/>
                                                      <w:divBdr>
                                                        <w:top w:val="none" w:sz="0" w:space="0" w:color="auto"/>
                                                        <w:left w:val="none" w:sz="0" w:space="0" w:color="auto"/>
                                                        <w:bottom w:val="none" w:sz="0" w:space="0" w:color="auto"/>
                                                        <w:right w:val="none" w:sz="0" w:space="0" w:color="auto"/>
                                                      </w:divBdr>
                                                    </w:div>
                                                    <w:div w:id="8233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8674">
                                          <w:marLeft w:val="0"/>
                                          <w:marRight w:val="0"/>
                                          <w:marTop w:val="0"/>
                                          <w:marBottom w:val="0"/>
                                          <w:divBdr>
                                            <w:top w:val="none" w:sz="0" w:space="0" w:color="auto"/>
                                            <w:left w:val="none" w:sz="0" w:space="0" w:color="auto"/>
                                            <w:bottom w:val="none" w:sz="0" w:space="0" w:color="auto"/>
                                            <w:right w:val="none" w:sz="0" w:space="0" w:color="auto"/>
                                          </w:divBdr>
                                        </w:div>
                                        <w:div w:id="823358698">
                                          <w:marLeft w:val="0"/>
                                          <w:marRight w:val="0"/>
                                          <w:marTop w:val="0"/>
                                          <w:marBottom w:val="0"/>
                                          <w:divBdr>
                                            <w:top w:val="none" w:sz="0" w:space="0" w:color="auto"/>
                                            <w:left w:val="none" w:sz="0" w:space="0" w:color="auto"/>
                                            <w:bottom w:val="none" w:sz="0" w:space="0" w:color="auto"/>
                                            <w:right w:val="none" w:sz="0" w:space="0" w:color="auto"/>
                                          </w:divBdr>
                                        </w:div>
                                        <w:div w:id="823358705">
                                          <w:marLeft w:val="0"/>
                                          <w:marRight w:val="0"/>
                                          <w:marTop w:val="0"/>
                                          <w:marBottom w:val="0"/>
                                          <w:divBdr>
                                            <w:top w:val="none" w:sz="0" w:space="0" w:color="auto"/>
                                            <w:left w:val="none" w:sz="0" w:space="0" w:color="auto"/>
                                            <w:bottom w:val="none" w:sz="0" w:space="0" w:color="auto"/>
                                            <w:right w:val="none" w:sz="0" w:space="0" w:color="auto"/>
                                          </w:divBdr>
                                        </w:div>
                                        <w:div w:id="823358712">
                                          <w:marLeft w:val="0"/>
                                          <w:marRight w:val="0"/>
                                          <w:marTop w:val="0"/>
                                          <w:marBottom w:val="0"/>
                                          <w:divBdr>
                                            <w:top w:val="none" w:sz="0" w:space="0" w:color="auto"/>
                                            <w:left w:val="none" w:sz="0" w:space="0" w:color="auto"/>
                                            <w:bottom w:val="none" w:sz="0" w:space="0" w:color="auto"/>
                                            <w:right w:val="none" w:sz="0" w:space="0" w:color="auto"/>
                                          </w:divBdr>
                                        </w:div>
                                        <w:div w:id="823358715">
                                          <w:marLeft w:val="0"/>
                                          <w:marRight w:val="0"/>
                                          <w:marTop w:val="0"/>
                                          <w:marBottom w:val="0"/>
                                          <w:divBdr>
                                            <w:top w:val="none" w:sz="0" w:space="0" w:color="auto"/>
                                            <w:left w:val="none" w:sz="0" w:space="0" w:color="auto"/>
                                            <w:bottom w:val="none" w:sz="0" w:space="0" w:color="auto"/>
                                            <w:right w:val="none" w:sz="0" w:space="0" w:color="auto"/>
                                          </w:divBdr>
                                        </w:div>
                                        <w:div w:id="8233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8707">
                              <w:marLeft w:val="0"/>
                              <w:marRight w:val="0"/>
                              <w:marTop w:val="0"/>
                              <w:marBottom w:val="0"/>
                              <w:divBdr>
                                <w:top w:val="none" w:sz="0" w:space="0" w:color="auto"/>
                                <w:left w:val="none" w:sz="0" w:space="0" w:color="auto"/>
                                <w:bottom w:val="none" w:sz="0" w:space="0" w:color="auto"/>
                                <w:right w:val="none" w:sz="0" w:space="0" w:color="auto"/>
                              </w:divBdr>
                            </w:div>
                            <w:div w:id="8233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7.wmf"/><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oleObject" Target="embeddings/oleObject32.bin"/><Relationship Id="rId68" Type="http://schemas.openxmlformats.org/officeDocument/2006/relationships/image" Target="media/image27.wmf"/><Relationship Id="rId84" Type="http://schemas.openxmlformats.org/officeDocument/2006/relationships/image" Target="media/image36.wmf"/><Relationship Id="rId89" Type="http://schemas.openxmlformats.org/officeDocument/2006/relationships/oleObject" Target="embeddings/oleObject46.bin"/><Relationship Id="rId112" Type="http://schemas.openxmlformats.org/officeDocument/2006/relationships/image" Target="media/image51.wmf"/><Relationship Id="rId16" Type="http://schemas.openxmlformats.org/officeDocument/2006/relationships/oleObject" Target="embeddings/oleObject5.bin"/><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image" Target="media/image21.wmf"/><Relationship Id="rId58" Type="http://schemas.openxmlformats.org/officeDocument/2006/relationships/oleObject" Target="embeddings/oleObject28.bin"/><Relationship Id="rId74" Type="http://schemas.openxmlformats.org/officeDocument/2006/relationships/image" Target="media/image30.wmf"/><Relationship Id="rId79" Type="http://schemas.openxmlformats.org/officeDocument/2006/relationships/oleObject" Target="embeddings/oleObject41.bin"/><Relationship Id="rId102" Type="http://schemas.openxmlformats.org/officeDocument/2006/relationships/hyperlink" Target="http://www.eia.doe.gov/oiaf/ieo/" TargetMode="External"/><Relationship Id="rId123" Type="http://schemas.openxmlformats.org/officeDocument/2006/relationships/oleObject" Target="embeddings/oleObject56.bin"/><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image" Target="media/image42.emf"/><Relationship Id="rId22" Type="http://schemas.openxmlformats.org/officeDocument/2006/relationships/oleObject" Target="embeddings/oleObject8.bin"/><Relationship Id="rId27" Type="http://schemas.openxmlformats.org/officeDocument/2006/relationships/image" Target="media/image10.wmf"/><Relationship Id="rId43" Type="http://schemas.openxmlformats.org/officeDocument/2006/relationships/image" Target="media/image17.wmf"/><Relationship Id="rId48" Type="http://schemas.openxmlformats.org/officeDocument/2006/relationships/image" Target="media/image19.emf"/><Relationship Id="rId64" Type="http://schemas.openxmlformats.org/officeDocument/2006/relationships/oleObject" Target="embeddings/oleObject33.bin"/><Relationship Id="rId69" Type="http://schemas.openxmlformats.org/officeDocument/2006/relationships/oleObject" Target="embeddings/oleObject35.bin"/><Relationship Id="rId113" Type="http://schemas.openxmlformats.org/officeDocument/2006/relationships/oleObject" Target="embeddings/oleObject51.bin"/><Relationship Id="rId118" Type="http://schemas.openxmlformats.org/officeDocument/2006/relationships/image" Target="media/image54.wmf"/><Relationship Id="rId80" Type="http://schemas.openxmlformats.org/officeDocument/2006/relationships/image" Target="media/image34.wmf"/><Relationship Id="rId85" Type="http://schemas.openxmlformats.org/officeDocument/2006/relationships/oleObject" Target="embeddings/oleObject44.bin"/><Relationship Id="rId12" Type="http://schemas.openxmlformats.org/officeDocument/2006/relationships/oleObject" Target="embeddings/oleObject3.bin"/><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5.wmf"/><Relationship Id="rId59" Type="http://schemas.openxmlformats.org/officeDocument/2006/relationships/oleObject" Target="embeddings/oleObject29.bin"/><Relationship Id="rId103" Type="http://schemas.openxmlformats.org/officeDocument/2006/relationships/hyperlink" Target="http://ec.europa.eu/environment/climat/future_action.htm" TargetMode="External"/><Relationship Id="rId108" Type="http://schemas.openxmlformats.org/officeDocument/2006/relationships/image" Target="media/image49.wmf"/><Relationship Id="rId124" Type="http://schemas.openxmlformats.org/officeDocument/2006/relationships/image" Target="media/image57.emf"/><Relationship Id="rId129" Type="http://schemas.openxmlformats.org/officeDocument/2006/relationships/fontTable" Target="fontTable.xml"/><Relationship Id="rId54" Type="http://schemas.openxmlformats.org/officeDocument/2006/relationships/oleObject" Target="embeddings/oleObject26.bin"/><Relationship Id="rId70" Type="http://schemas.openxmlformats.org/officeDocument/2006/relationships/image" Target="media/image28.wmf"/><Relationship Id="rId75" Type="http://schemas.openxmlformats.org/officeDocument/2006/relationships/oleObject" Target="embeddings/oleObject38.bin"/><Relationship Id="rId91" Type="http://schemas.openxmlformats.org/officeDocument/2006/relationships/oleObject" Target="embeddings/oleObject47.bin"/><Relationship Id="rId9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1.bin"/><Relationship Id="rId49" Type="http://schemas.openxmlformats.org/officeDocument/2006/relationships/oleObject" Target="embeddings/oleObject23.bin"/><Relationship Id="rId114" Type="http://schemas.openxmlformats.org/officeDocument/2006/relationships/image" Target="media/image52.wmf"/><Relationship Id="rId119" Type="http://schemas.openxmlformats.org/officeDocument/2006/relationships/oleObject" Target="embeddings/oleObject54.bin"/><Relationship Id="rId44" Type="http://schemas.openxmlformats.org/officeDocument/2006/relationships/oleObject" Target="embeddings/oleObject20.bin"/><Relationship Id="rId60" Type="http://schemas.openxmlformats.org/officeDocument/2006/relationships/oleObject" Target="embeddings/oleObject30.bin"/><Relationship Id="rId65" Type="http://schemas.openxmlformats.org/officeDocument/2006/relationships/image" Target="media/image25.wmf"/><Relationship Id="rId81" Type="http://schemas.openxmlformats.org/officeDocument/2006/relationships/oleObject" Target="embeddings/oleObject42.bin"/><Relationship Id="rId86" Type="http://schemas.openxmlformats.org/officeDocument/2006/relationships/image" Target="media/image37.wmf"/><Relationship Id="rId130"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image" Target="media/image5.wmf"/><Relationship Id="rId39" Type="http://schemas.openxmlformats.org/officeDocument/2006/relationships/oleObject" Target="embeddings/oleObject17.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0.w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3.emf"/><Relationship Id="rId104" Type="http://schemas.openxmlformats.org/officeDocument/2006/relationships/hyperlink" Target="http://www.esri.go.jp/jp/workshop/080225/03_report5_Okagawa.pdf" TargetMode="External"/><Relationship Id="rId120" Type="http://schemas.openxmlformats.org/officeDocument/2006/relationships/image" Target="media/image55.wmf"/><Relationship Id="rId125"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oleObject" Target="embeddings/oleObject36.bin"/><Relationship Id="rId92" Type="http://schemas.openxmlformats.org/officeDocument/2006/relationships/chart" Target="charts/chart1.xml"/><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oleObject" Target="embeddings/oleObject21.bin"/><Relationship Id="rId66" Type="http://schemas.openxmlformats.org/officeDocument/2006/relationships/image" Target="media/image26.wmf"/><Relationship Id="rId87" Type="http://schemas.openxmlformats.org/officeDocument/2006/relationships/oleObject" Target="embeddings/oleObject45.bin"/><Relationship Id="rId110" Type="http://schemas.openxmlformats.org/officeDocument/2006/relationships/image" Target="media/image50.wmf"/><Relationship Id="rId115" Type="http://schemas.openxmlformats.org/officeDocument/2006/relationships/oleObject" Target="embeddings/oleObject52.bin"/><Relationship Id="rId61" Type="http://schemas.openxmlformats.org/officeDocument/2006/relationships/oleObject" Target="embeddings/oleObject31.bin"/><Relationship Id="rId82" Type="http://schemas.openxmlformats.org/officeDocument/2006/relationships/image" Target="media/image35.wmf"/><Relationship Id="rId19" Type="http://schemas.openxmlformats.org/officeDocument/2006/relationships/oleObject" Target="embeddings/oleObject7.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7.bin"/><Relationship Id="rId77" Type="http://schemas.openxmlformats.org/officeDocument/2006/relationships/oleObject" Target="embeddings/oleObject40.bin"/><Relationship Id="rId100" Type="http://schemas.openxmlformats.org/officeDocument/2006/relationships/image" Target="media/image46.emf"/><Relationship Id="rId105" Type="http://schemas.openxmlformats.org/officeDocument/2006/relationships/hyperlink" Target="http://www.springerlink.com/content/1381-2386/" TargetMode="External"/><Relationship Id="rId126" Type="http://schemas.openxmlformats.org/officeDocument/2006/relationships/image" Target="media/image59.emf"/><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29.wmf"/><Relationship Id="rId93" Type="http://schemas.openxmlformats.org/officeDocument/2006/relationships/image" Target="media/image40.emf"/><Relationship Id="rId98" Type="http://schemas.openxmlformats.org/officeDocument/2006/relationships/image" Target="media/image44.emf"/><Relationship Id="rId121" Type="http://schemas.openxmlformats.org/officeDocument/2006/relationships/oleObject" Target="embeddings/oleObject55.bin"/><Relationship Id="rId3" Type="http://schemas.microsoft.com/office/2007/relationships/stylesWithEffects" Target="stylesWithEffects.xml"/><Relationship Id="rId25" Type="http://schemas.openxmlformats.org/officeDocument/2006/relationships/image" Target="media/image9.wmf"/><Relationship Id="rId46" Type="http://schemas.openxmlformats.org/officeDocument/2006/relationships/image" Target="media/image18.wmf"/><Relationship Id="rId67" Type="http://schemas.openxmlformats.org/officeDocument/2006/relationships/oleObject" Target="embeddings/oleObject34.bin"/><Relationship Id="rId116" Type="http://schemas.openxmlformats.org/officeDocument/2006/relationships/image" Target="media/image53.wmf"/><Relationship Id="rId20" Type="http://schemas.openxmlformats.org/officeDocument/2006/relationships/image" Target="media/image6.wmf"/><Relationship Id="rId41" Type="http://schemas.openxmlformats.org/officeDocument/2006/relationships/oleObject" Target="embeddings/oleObject18.bin"/><Relationship Id="rId62" Type="http://schemas.openxmlformats.org/officeDocument/2006/relationships/image" Target="media/image24.wmf"/><Relationship Id="rId83" Type="http://schemas.openxmlformats.org/officeDocument/2006/relationships/oleObject" Target="embeddings/oleObject43.bin"/><Relationship Id="rId88" Type="http://schemas.openxmlformats.org/officeDocument/2006/relationships/image" Target="media/image38.wmf"/><Relationship Id="rId111" Type="http://schemas.openxmlformats.org/officeDocument/2006/relationships/oleObject" Target="embeddings/oleObject50.bin"/><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image" Target="media/image23.wmf"/><Relationship Id="rId106" Type="http://schemas.openxmlformats.org/officeDocument/2006/relationships/image" Target="media/image48.wmf"/><Relationship Id="rId127"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5.bin"/><Relationship Id="rId73" Type="http://schemas.openxmlformats.org/officeDocument/2006/relationships/oleObject" Target="embeddings/oleObject37.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image" Target="media/image45.emf"/><Relationship Id="rId101" Type="http://schemas.openxmlformats.org/officeDocument/2006/relationships/image" Target="media/image47.emf"/><Relationship Id="rId122"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10.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39.bin"/><Relationship Id="rId1" Type="http://schemas.openxmlformats.org/officeDocument/2006/relationships/image" Target="media/image3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661840744570834E-2"/>
          <c:y val="0.14745762711864407"/>
          <c:w val="0.82730093071354704"/>
          <c:h val="0.76101694915254237"/>
        </c:manualLayout>
      </c:layout>
      <c:lineChart>
        <c:grouping val="standard"/>
        <c:varyColors val="0"/>
        <c:ser>
          <c:idx val="0"/>
          <c:order val="0"/>
          <c:tx>
            <c:strRef>
              <c:f>'results-table'!$I$88</c:f>
              <c:strCache>
                <c:ptCount val="1"/>
                <c:pt idx="0">
                  <c:v>EUR</c:v>
                </c:pt>
              </c:strCache>
            </c:strRef>
          </c:tx>
          <c:spPr>
            <a:ln w="30728">
              <a:solidFill>
                <a:srgbClr val="000080"/>
              </a:solidFill>
              <a:prstDash val="solid"/>
            </a:ln>
          </c:spPr>
          <c:marker>
            <c:symbol val="none"/>
          </c:marker>
          <c:cat>
            <c:strRef>
              <c:f>'results-table'!$K$87:$O$87</c:f>
              <c:strCache>
                <c:ptCount val="5"/>
                <c:pt idx="0">
                  <c:v>C1</c:v>
                </c:pt>
                <c:pt idx="1">
                  <c:v>C2</c:v>
                </c:pt>
                <c:pt idx="2">
                  <c:v>C3</c:v>
                </c:pt>
                <c:pt idx="3">
                  <c:v>C4</c:v>
                </c:pt>
                <c:pt idx="4">
                  <c:v>CE-World</c:v>
                </c:pt>
              </c:strCache>
            </c:strRef>
          </c:cat>
          <c:val>
            <c:numRef>
              <c:f>'results-table'!$K$88:$O$88</c:f>
              <c:numCache>
                <c:formatCode>0%</c:formatCode>
                <c:ptCount val="5"/>
                <c:pt idx="0">
                  <c:v>0.13829419051839309</c:v>
                </c:pt>
                <c:pt idx="1">
                  <c:v>6.1442521355772217E-2</c:v>
                </c:pt>
                <c:pt idx="2">
                  <c:v>0.18655613309311803</c:v>
                </c:pt>
                <c:pt idx="3">
                  <c:v>0.62061280796462759</c:v>
                </c:pt>
                <c:pt idx="4">
                  <c:v>0.66269039063030655</c:v>
                </c:pt>
              </c:numCache>
            </c:numRef>
          </c:val>
          <c:smooth val="0"/>
        </c:ser>
        <c:ser>
          <c:idx val="1"/>
          <c:order val="1"/>
          <c:tx>
            <c:strRef>
              <c:f>'results-table'!$I$89</c:f>
              <c:strCache>
                <c:ptCount val="1"/>
                <c:pt idx="0">
                  <c:v>USA</c:v>
                </c:pt>
              </c:strCache>
            </c:strRef>
          </c:tx>
          <c:spPr>
            <a:ln w="30728">
              <a:solidFill>
                <a:srgbClr val="FF00FF"/>
              </a:solidFill>
              <a:prstDash val="solid"/>
            </a:ln>
          </c:spPr>
          <c:marker>
            <c:symbol val="square"/>
            <c:size val="5"/>
            <c:spPr>
              <a:noFill/>
              <a:ln>
                <a:solidFill>
                  <a:srgbClr val="FF00FF"/>
                </a:solidFill>
                <a:prstDash val="solid"/>
              </a:ln>
            </c:spPr>
          </c:marker>
          <c:cat>
            <c:strRef>
              <c:f>'results-table'!$K$87:$O$87</c:f>
              <c:strCache>
                <c:ptCount val="5"/>
                <c:pt idx="0">
                  <c:v>C1</c:v>
                </c:pt>
                <c:pt idx="1">
                  <c:v>C2</c:v>
                </c:pt>
                <c:pt idx="2">
                  <c:v>C3</c:v>
                </c:pt>
                <c:pt idx="3">
                  <c:v>C4</c:v>
                </c:pt>
                <c:pt idx="4">
                  <c:v>CE-World</c:v>
                </c:pt>
              </c:strCache>
            </c:strRef>
          </c:cat>
          <c:val>
            <c:numRef>
              <c:f>'results-table'!$K$89:$O$89</c:f>
              <c:numCache>
                <c:formatCode>0%</c:formatCode>
                <c:ptCount val="5"/>
                <c:pt idx="0">
                  <c:v>0.19667022713429427</c:v>
                </c:pt>
                <c:pt idx="1">
                  <c:v>0.52879123595307242</c:v>
                </c:pt>
                <c:pt idx="2">
                  <c:v>0.12238592526549019</c:v>
                </c:pt>
                <c:pt idx="3">
                  <c:v>0.21874806896125565</c:v>
                </c:pt>
                <c:pt idx="4">
                  <c:v>0.28228917470714421</c:v>
                </c:pt>
              </c:numCache>
            </c:numRef>
          </c:val>
          <c:smooth val="0"/>
        </c:ser>
        <c:ser>
          <c:idx val="2"/>
          <c:order val="2"/>
          <c:tx>
            <c:strRef>
              <c:f>'results-table'!$I$91</c:f>
              <c:strCache>
                <c:ptCount val="1"/>
                <c:pt idx="0">
                  <c:v>CAN</c:v>
                </c:pt>
              </c:strCache>
            </c:strRef>
          </c:tx>
          <c:spPr>
            <a:ln w="30728">
              <a:solidFill>
                <a:srgbClr val="003300"/>
              </a:solidFill>
              <a:prstDash val="sysDash"/>
            </a:ln>
          </c:spPr>
          <c:marker>
            <c:symbol val="star"/>
            <c:size val="5"/>
            <c:spPr>
              <a:noFill/>
              <a:ln>
                <a:solidFill>
                  <a:srgbClr val="003300"/>
                </a:solidFill>
                <a:prstDash val="solid"/>
              </a:ln>
            </c:spPr>
          </c:marker>
          <c:cat>
            <c:strRef>
              <c:f>'results-table'!$K$87:$O$87</c:f>
              <c:strCache>
                <c:ptCount val="5"/>
                <c:pt idx="0">
                  <c:v>C1</c:v>
                </c:pt>
                <c:pt idx="1">
                  <c:v>C2</c:v>
                </c:pt>
                <c:pt idx="2">
                  <c:v>C3</c:v>
                </c:pt>
                <c:pt idx="3">
                  <c:v>C4</c:v>
                </c:pt>
                <c:pt idx="4">
                  <c:v>CE-World</c:v>
                </c:pt>
              </c:strCache>
            </c:strRef>
          </c:cat>
          <c:val>
            <c:numRef>
              <c:f>'results-table'!$K$91:$O$91</c:f>
              <c:numCache>
                <c:formatCode>0%</c:formatCode>
                <c:ptCount val="5"/>
                <c:pt idx="1">
                  <c:v>4.5973602254189005E-3</c:v>
                </c:pt>
                <c:pt idx="2">
                  <c:v>8.9633694201393999E-2</c:v>
                </c:pt>
                <c:pt idx="3">
                  <c:v>0.54168767610855695</c:v>
                </c:pt>
                <c:pt idx="4">
                  <c:v>0.58866973157348368</c:v>
                </c:pt>
              </c:numCache>
            </c:numRef>
          </c:val>
          <c:smooth val="0"/>
        </c:ser>
        <c:ser>
          <c:idx val="3"/>
          <c:order val="3"/>
          <c:tx>
            <c:strRef>
              <c:f>'results-table'!$I$92</c:f>
              <c:strCache>
                <c:ptCount val="1"/>
                <c:pt idx="0">
                  <c:v>JPN</c:v>
                </c:pt>
              </c:strCache>
            </c:strRef>
          </c:tx>
          <c:spPr>
            <a:ln w="30728">
              <a:solidFill>
                <a:srgbClr val="00FFFF"/>
              </a:solidFill>
              <a:prstDash val="sysDash"/>
            </a:ln>
          </c:spPr>
          <c:marker>
            <c:symbol val="none"/>
          </c:marker>
          <c:cat>
            <c:strRef>
              <c:f>'results-table'!$K$87:$O$87</c:f>
              <c:strCache>
                <c:ptCount val="5"/>
                <c:pt idx="0">
                  <c:v>C1</c:v>
                </c:pt>
                <c:pt idx="1">
                  <c:v>C2</c:v>
                </c:pt>
                <c:pt idx="2">
                  <c:v>C3</c:v>
                </c:pt>
                <c:pt idx="3">
                  <c:v>C4</c:v>
                </c:pt>
                <c:pt idx="4">
                  <c:v>CE-World</c:v>
                </c:pt>
              </c:strCache>
            </c:strRef>
          </c:cat>
          <c:val>
            <c:numRef>
              <c:f>'results-table'!$K$92:$O$92</c:f>
              <c:numCache>
                <c:formatCode>0%</c:formatCode>
                <c:ptCount val="5"/>
                <c:pt idx="1">
                  <c:v>0.61976032671788195</c:v>
                </c:pt>
                <c:pt idx="2">
                  <c:v>0.70896485377709739</c:v>
                </c:pt>
                <c:pt idx="3">
                  <c:v>0.88821336564744624</c:v>
                </c:pt>
                <c:pt idx="4">
                  <c:v>0.90145043499174415</c:v>
                </c:pt>
              </c:numCache>
            </c:numRef>
          </c:val>
          <c:smooth val="0"/>
        </c:ser>
        <c:ser>
          <c:idx val="4"/>
          <c:order val="4"/>
          <c:tx>
            <c:strRef>
              <c:f>'results-table'!$I$90</c:f>
              <c:strCache>
                <c:ptCount val="1"/>
                <c:pt idx="0">
                  <c:v>AUS</c:v>
                </c:pt>
              </c:strCache>
            </c:strRef>
          </c:tx>
          <c:spPr>
            <a:ln w="30728">
              <a:solidFill>
                <a:srgbClr val="800080"/>
              </a:solidFill>
              <a:prstDash val="sysDash"/>
            </a:ln>
          </c:spPr>
          <c:marker>
            <c:symbol val="square"/>
            <c:size val="5"/>
            <c:spPr>
              <a:noFill/>
              <a:ln>
                <a:solidFill>
                  <a:srgbClr val="800080"/>
                </a:solidFill>
                <a:prstDash val="solid"/>
              </a:ln>
            </c:spPr>
          </c:marker>
          <c:cat>
            <c:strRef>
              <c:f>'results-table'!$K$87:$O$87</c:f>
              <c:strCache>
                <c:ptCount val="5"/>
                <c:pt idx="0">
                  <c:v>C1</c:v>
                </c:pt>
                <c:pt idx="1">
                  <c:v>C2</c:v>
                </c:pt>
                <c:pt idx="2">
                  <c:v>C3</c:v>
                </c:pt>
                <c:pt idx="3">
                  <c:v>C4</c:v>
                </c:pt>
                <c:pt idx="4">
                  <c:v>CE-World</c:v>
                </c:pt>
              </c:strCache>
            </c:strRef>
          </c:cat>
          <c:val>
            <c:numRef>
              <c:f>'results-table'!$K$90:$O$90</c:f>
              <c:numCache>
                <c:formatCode>0%</c:formatCode>
                <c:ptCount val="5"/>
                <c:pt idx="1">
                  <c:v>5.6415929203539772E-2</c:v>
                </c:pt>
                <c:pt idx="2">
                  <c:v>1.7466231951560607E-3</c:v>
                </c:pt>
                <c:pt idx="3">
                  <c:v>0.34449231485794118</c:v>
                </c:pt>
                <c:pt idx="4">
                  <c:v>0.39986027014438752</c:v>
                </c:pt>
              </c:numCache>
            </c:numRef>
          </c:val>
          <c:smooth val="0"/>
        </c:ser>
        <c:ser>
          <c:idx val="8"/>
          <c:order val="5"/>
          <c:tx>
            <c:strRef>
              <c:f>'results-table'!$I$98</c:f>
              <c:strCache>
                <c:ptCount val="1"/>
                <c:pt idx="0">
                  <c:v>BRA</c:v>
                </c:pt>
              </c:strCache>
            </c:strRef>
          </c:tx>
          <c:spPr>
            <a:ln w="30728">
              <a:solidFill>
                <a:srgbClr val="00CCFF"/>
              </a:solidFill>
              <a:prstDash val="lgDash"/>
            </a:ln>
          </c:spPr>
          <c:marker>
            <c:symbol val="star"/>
            <c:size val="5"/>
            <c:spPr>
              <a:noFill/>
              <a:ln>
                <a:solidFill>
                  <a:srgbClr val="00CCFF"/>
                </a:solidFill>
                <a:prstDash val="solid"/>
              </a:ln>
            </c:spPr>
          </c:marker>
          <c:cat>
            <c:strRef>
              <c:f>'results-table'!$K$87:$O$87</c:f>
              <c:strCache>
                <c:ptCount val="5"/>
                <c:pt idx="0">
                  <c:v>C1</c:v>
                </c:pt>
                <c:pt idx="1">
                  <c:v>C2</c:v>
                </c:pt>
                <c:pt idx="2">
                  <c:v>C3</c:v>
                </c:pt>
                <c:pt idx="3">
                  <c:v>C4</c:v>
                </c:pt>
                <c:pt idx="4">
                  <c:v>CE-World</c:v>
                </c:pt>
              </c:strCache>
            </c:strRef>
          </c:cat>
          <c:val>
            <c:numRef>
              <c:f>'results-table'!$K$98:$O$98</c:f>
              <c:numCache>
                <c:formatCode>General</c:formatCode>
                <c:ptCount val="5"/>
                <c:pt idx="3" formatCode="0%">
                  <c:v>0.70793641684838748</c:v>
                </c:pt>
                <c:pt idx="4" formatCode="0%">
                  <c:v>0.74142086537357965</c:v>
                </c:pt>
              </c:numCache>
            </c:numRef>
          </c:val>
          <c:smooth val="0"/>
        </c:ser>
        <c:ser>
          <c:idx val="9"/>
          <c:order val="6"/>
          <c:tx>
            <c:strRef>
              <c:f>'results-table'!$I$94</c:f>
              <c:strCache>
                <c:ptCount val="1"/>
                <c:pt idx="0">
                  <c:v>KOR</c:v>
                </c:pt>
              </c:strCache>
            </c:strRef>
          </c:tx>
          <c:spPr>
            <a:ln w="30728">
              <a:solidFill>
                <a:srgbClr val="800000"/>
              </a:solidFill>
              <a:prstDash val="lgDash"/>
            </a:ln>
          </c:spPr>
          <c:marker>
            <c:symbol val="triangle"/>
            <c:size val="5"/>
            <c:spPr>
              <a:noFill/>
              <a:ln>
                <a:solidFill>
                  <a:srgbClr val="800000"/>
                </a:solidFill>
                <a:prstDash val="solid"/>
              </a:ln>
            </c:spPr>
          </c:marker>
          <c:cat>
            <c:strRef>
              <c:f>'results-table'!$K$87:$O$87</c:f>
              <c:strCache>
                <c:ptCount val="5"/>
                <c:pt idx="0">
                  <c:v>C1</c:v>
                </c:pt>
                <c:pt idx="1">
                  <c:v>C2</c:v>
                </c:pt>
                <c:pt idx="2">
                  <c:v>C3</c:v>
                </c:pt>
                <c:pt idx="3">
                  <c:v>C4</c:v>
                </c:pt>
                <c:pt idx="4">
                  <c:v>CE-World</c:v>
                </c:pt>
              </c:strCache>
            </c:strRef>
          </c:cat>
          <c:val>
            <c:numRef>
              <c:f>'results-table'!$K$94:$O$94</c:f>
              <c:numCache>
                <c:formatCode>General</c:formatCode>
                <c:ptCount val="5"/>
                <c:pt idx="2" formatCode="0%">
                  <c:v>3.1277999511281296E-2</c:v>
                </c:pt>
                <c:pt idx="3" formatCode="0%">
                  <c:v>0.24973527734788625</c:v>
                </c:pt>
                <c:pt idx="4" formatCode="0%">
                  <c:v>0.30487904211126504</c:v>
                </c:pt>
              </c:numCache>
            </c:numRef>
          </c:val>
          <c:smooth val="0"/>
        </c:ser>
        <c:ser>
          <c:idx val="10"/>
          <c:order val="7"/>
          <c:tx>
            <c:strRef>
              <c:f>'results-table'!$I$95</c:f>
              <c:strCache>
                <c:ptCount val="1"/>
                <c:pt idx="0">
                  <c:v>MEX</c:v>
                </c:pt>
              </c:strCache>
            </c:strRef>
          </c:tx>
          <c:spPr>
            <a:ln w="30728">
              <a:solidFill>
                <a:srgbClr val="000080"/>
              </a:solidFill>
              <a:prstDash val="lgDash"/>
            </a:ln>
          </c:spPr>
          <c:marker>
            <c:symbol val="plus"/>
            <c:size val="5"/>
            <c:spPr>
              <a:noFill/>
              <a:ln>
                <a:solidFill>
                  <a:srgbClr val="000080"/>
                </a:solidFill>
                <a:prstDash val="solid"/>
              </a:ln>
            </c:spPr>
          </c:marker>
          <c:cat>
            <c:strRef>
              <c:f>'results-table'!$K$87:$O$87</c:f>
              <c:strCache>
                <c:ptCount val="5"/>
                <c:pt idx="0">
                  <c:v>C1</c:v>
                </c:pt>
                <c:pt idx="1">
                  <c:v>C2</c:v>
                </c:pt>
                <c:pt idx="2">
                  <c:v>C3</c:v>
                </c:pt>
                <c:pt idx="3">
                  <c:v>C4</c:v>
                </c:pt>
                <c:pt idx="4">
                  <c:v>CE-World</c:v>
                </c:pt>
              </c:strCache>
            </c:strRef>
          </c:cat>
          <c:val>
            <c:numRef>
              <c:f>'results-table'!$K$95:$O$95</c:f>
              <c:numCache>
                <c:formatCode>General</c:formatCode>
                <c:ptCount val="5"/>
                <c:pt idx="2" formatCode="0%">
                  <c:v>4.1565918249856115E-2</c:v>
                </c:pt>
                <c:pt idx="3" formatCode="0%">
                  <c:v>0.52170408750719632</c:v>
                </c:pt>
                <c:pt idx="4" formatCode="0%">
                  <c:v>0.5734599884858953</c:v>
                </c:pt>
              </c:numCache>
            </c:numRef>
          </c:val>
          <c:smooth val="0"/>
        </c:ser>
        <c:ser>
          <c:idx val="11"/>
          <c:order val="8"/>
          <c:tx>
            <c:strRef>
              <c:f>'results-table'!$I$99</c:f>
              <c:strCache>
                <c:ptCount val="1"/>
                <c:pt idx="0">
                  <c:v>ZAF</c:v>
                </c:pt>
              </c:strCache>
            </c:strRef>
          </c:tx>
          <c:spPr>
            <a:ln w="30728">
              <a:solidFill>
                <a:srgbClr val="FF6600"/>
              </a:solidFill>
              <a:prstDash val="sysDash"/>
            </a:ln>
          </c:spPr>
          <c:marker>
            <c:symbol val="diamond"/>
            <c:size val="5"/>
            <c:spPr>
              <a:noFill/>
              <a:ln>
                <a:solidFill>
                  <a:srgbClr val="FF6600"/>
                </a:solidFill>
                <a:prstDash val="solid"/>
              </a:ln>
            </c:spPr>
          </c:marker>
          <c:cat>
            <c:strRef>
              <c:f>'results-table'!$K$87:$O$87</c:f>
              <c:strCache>
                <c:ptCount val="5"/>
                <c:pt idx="0">
                  <c:v>C1</c:v>
                </c:pt>
                <c:pt idx="1">
                  <c:v>C2</c:v>
                </c:pt>
                <c:pt idx="2">
                  <c:v>C3</c:v>
                </c:pt>
                <c:pt idx="3">
                  <c:v>C4</c:v>
                </c:pt>
                <c:pt idx="4">
                  <c:v>CE-World</c:v>
                </c:pt>
              </c:strCache>
            </c:strRef>
          </c:cat>
          <c:val>
            <c:numRef>
              <c:f>'results-table'!$K$99:$O$99</c:f>
              <c:numCache>
                <c:formatCode>General</c:formatCode>
                <c:ptCount val="5"/>
                <c:pt idx="3" formatCode="0%">
                  <c:v>0.1885935014769371</c:v>
                </c:pt>
                <c:pt idx="4" formatCode="0%">
                  <c:v>7.7255169279709102E-2</c:v>
                </c:pt>
              </c:numCache>
            </c:numRef>
          </c:val>
          <c:smooth val="0"/>
        </c:ser>
        <c:dLbls>
          <c:showLegendKey val="0"/>
          <c:showVal val="0"/>
          <c:showCatName val="0"/>
          <c:showSerName val="0"/>
          <c:showPercent val="0"/>
          <c:showBubbleSize val="0"/>
        </c:dLbls>
        <c:marker val="1"/>
        <c:smooth val="0"/>
        <c:axId val="135329792"/>
        <c:axId val="183164224"/>
      </c:lineChart>
      <c:lineChart>
        <c:grouping val="standard"/>
        <c:varyColors val="0"/>
        <c:ser>
          <c:idx val="5"/>
          <c:order val="9"/>
          <c:tx>
            <c:strRef>
              <c:f>'results-table'!$I$93</c:f>
              <c:strCache>
                <c:ptCount val="1"/>
                <c:pt idx="0">
                  <c:v>RUS (RH)</c:v>
                </c:pt>
              </c:strCache>
            </c:strRef>
          </c:tx>
          <c:spPr>
            <a:ln w="30728">
              <a:solidFill>
                <a:srgbClr val="800000"/>
              </a:solidFill>
              <a:prstDash val="lgDashDot"/>
            </a:ln>
          </c:spPr>
          <c:marker>
            <c:symbol val="circle"/>
            <c:size val="8"/>
            <c:spPr>
              <a:noFill/>
              <a:ln>
                <a:solidFill>
                  <a:srgbClr val="800000"/>
                </a:solidFill>
                <a:prstDash val="solid"/>
              </a:ln>
            </c:spPr>
          </c:marker>
          <c:cat>
            <c:strRef>
              <c:f>'results-table'!$K$87:$O$87</c:f>
              <c:strCache>
                <c:ptCount val="5"/>
                <c:pt idx="0">
                  <c:v>C1</c:v>
                </c:pt>
                <c:pt idx="1">
                  <c:v>C2</c:v>
                </c:pt>
                <c:pt idx="2">
                  <c:v>C3</c:v>
                </c:pt>
                <c:pt idx="3">
                  <c:v>C4</c:v>
                </c:pt>
                <c:pt idx="4">
                  <c:v>CE-World</c:v>
                </c:pt>
              </c:strCache>
            </c:strRef>
          </c:cat>
          <c:val>
            <c:numRef>
              <c:f>'results-table'!$K$93:$O$93</c:f>
              <c:numCache>
                <c:formatCode>General</c:formatCode>
                <c:ptCount val="5"/>
                <c:pt idx="2" formatCode="0%">
                  <c:v>18.009862385321103</c:v>
                </c:pt>
                <c:pt idx="3" formatCode="0%">
                  <c:v>1.0227064220183486</c:v>
                </c:pt>
                <c:pt idx="4" formatCode="0%">
                  <c:v>0.59311926605504584</c:v>
                </c:pt>
              </c:numCache>
            </c:numRef>
          </c:val>
          <c:smooth val="0"/>
        </c:ser>
        <c:ser>
          <c:idx val="12"/>
          <c:order val="10"/>
          <c:tx>
            <c:strRef>
              <c:f>'results-table'!$I$96</c:f>
              <c:strCache>
                <c:ptCount val="1"/>
                <c:pt idx="0">
                  <c:v>CHN (RH)</c:v>
                </c:pt>
              </c:strCache>
            </c:strRef>
          </c:tx>
          <c:spPr>
            <a:ln w="30728">
              <a:solidFill>
                <a:srgbClr val="99CCFF"/>
              </a:solidFill>
              <a:prstDash val="lgDashDot"/>
            </a:ln>
          </c:spPr>
          <c:marker>
            <c:symbol val="diamond"/>
            <c:size val="8"/>
            <c:spPr>
              <a:noFill/>
              <a:ln>
                <a:solidFill>
                  <a:srgbClr val="99CCFF"/>
                </a:solidFill>
                <a:prstDash val="solid"/>
              </a:ln>
            </c:spPr>
          </c:marker>
          <c:cat>
            <c:strRef>
              <c:f>'results-table'!$K$87:$O$87</c:f>
              <c:strCache>
                <c:ptCount val="5"/>
                <c:pt idx="0">
                  <c:v>C1</c:v>
                </c:pt>
                <c:pt idx="1">
                  <c:v>C2</c:v>
                </c:pt>
                <c:pt idx="2">
                  <c:v>C3</c:v>
                </c:pt>
                <c:pt idx="3">
                  <c:v>C4</c:v>
                </c:pt>
                <c:pt idx="4">
                  <c:v>CE-World</c:v>
                </c:pt>
              </c:strCache>
            </c:strRef>
          </c:cat>
          <c:val>
            <c:numRef>
              <c:f>'results-table'!$K$96:$O$96</c:f>
              <c:numCache>
                <c:formatCode>General</c:formatCode>
                <c:ptCount val="5"/>
                <c:pt idx="3" formatCode="0%">
                  <c:v>5.6599552572706937</c:v>
                </c:pt>
                <c:pt idx="4" formatCode="0%">
                  <c:v>4.0084824757643549</c:v>
                </c:pt>
              </c:numCache>
            </c:numRef>
          </c:val>
          <c:smooth val="0"/>
        </c:ser>
        <c:ser>
          <c:idx val="13"/>
          <c:order val="11"/>
          <c:tx>
            <c:strRef>
              <c:f>'results-table'!$I$97</c:f>
              <c:strCache>
                <c:ptCount val="1"/>
                <c:pt idx="0">
                  <c:v>IND (RH)</c:v>
                </c:pt>
              </c:strCache>
            </c:strRef>
          </c:tx>
          <c:spPr>
            <a:ln w="30728">
              <a:solidFill>
                <a:srgbClr val="FF99CC"/>
              </a:solidFill>
              <a:prstDash val="lgDashDot"/>
            </a:ln>
          </c:spPr>
          <c:marker>
            <c:symbol val="square"/>
            <c:size val="8"/>
            <c:spPr>
              <a:noFill/>
              <a:ln>
                <a:solidFill>
                  <a:srgbClr val="FF99CC"/>
                </a:solidFill>
                <a:prstDash val="solid"/>
              </a:ln>
            </c:spPr>
          </c:marker>
          <c:cat>
            <c:strRef>
              <c:f>'results-table'!$K$87:$O$87</c:f>
              <c:strCache>
                <c:ptCount val="5"/>
                <c:pt idx="0">
                  <c:v>C1</c:v>
                </c:pt>
                <c:pt idx="1">
                  <c:v>C2</c:v>
                </c:pt>
                <c:pt idx="2">
                  <c:v>C3</c:v>
                </c:pt>
                <c:pt idx="3">
                  <c:v>C4</c:v>
                </c:pt>
                <c:pt idx="4">
                  <c:v>CE-World</c:v>
                </c:pt>
              </c:strCache>
            </c:strRef>
          </c:cat>
          <c:val>
            <c:numRef>
              <c:f>'results-table'!$K$97:$O$97</c:f>
              <c:numCache>
                <c:formatCode>General</c:formatCode>
                <c:ptCount val="5"/>
                <c:pt idx="3" formatCode="0%">
                  <c:v>5.4491099954358742</c:v>
                </c:pt>
                <c:pt idx="4" formatCode="0%">
                  <c:v>3.5084436330442723</c:v>
                </c:pt>
              </c:numCache>
            </c:numRef>
          </c:val>
          <c:smooth val="0"/>
        </c:ser>
        <c:dLbls>
          <c:showLegendKey val="0"/>
          <c:showVal val="0"/>
          <c:showCatName val="0"/>
          <c:showSerName val="0"/>
          <c:showPercent val="0"/>
          <c:showBubbleSize val="0"/>
        </c:dLbls>
        <c:marker val="1"/>
        <c:smooth val="0"/>
        <c:axId val="239819776"/>
        <c:axId val="185861248"/>
      </c:lineChart>
      <c:catAx>
        <c:axId val="135329792"/>
        <c:scaling>
          <c:orientation val="minMax"/>
        </c:scaling>
        <c:delete val="0"/>
        <c:axPos val="b"/>
        <c:numFmt formatCode="General" sourceLinked="1"/>
        <c:majorTickMark val="out"/>
        <c:minorTickMark val="none"/>
        <c:tickLblPos val="low"/>
        <c:spPr>
          <a:ln w="2561">
            <a:solidFill>
              <a:srgbClr val="000000"/>
            </a:solidFill>
            <a:prstDash val="solid"/>
          </a:ln>
        </c:spPr>
        <c:txPr>
          <a:bodyPr rot="0" vert="horz"/>
          <a:lstStyle/>
          <a:p>
            <a:pPr>
              <a:defRPr/>
            </a:pPr>
            <a:endParaRPr lang="en-US"/>
          </a:p>
        </c:txPr>
        <c:crossAx val="183164224"/>
        <c:crosses val="autoZero"/>
        <c:auto val="1"/>
        <c:lblAlgn val="ctr"/>
        <c:lblOffset val="100"/>
        <c:tickLblSkip val="1"/>
        <c:tickMarkSkip val="1"/>
        <c:noMultiLvlLbl val="0"/>
      </c:catAx>
      <c:valAx>
        <c:axId val="183164224"/>
        <c:scaling>
          <c:orientation val="minMax"/>
          <c:max val="1"/>
          <c:min val="0"/>
        </c:scaling>
        <c:delete val="0"/>
        <c:axPos val="l"/>
        <c:majorGridlines>
          <c:spPr>
            <a:ln w="2561">
              <a:solidFill>
                <a:srgbClr val="000000"/>
              </a:solidFill>
              <a:prstDash val="sysDash"/>
            </a:ln>
          </c:spPr>
        </c:majorGridlines>
        <c:numFmt formatCode="0%" sourceLinked="1"/>
        <c:majorTickMark val="out"/>
        <c:minorTickMark val="none"/>
        <c:tickLblPos val="nextTo"/>
        <c:spPr>
          <a:ln w="2561">
            <a:solidFill>
              <a:srgbClr val="000000"/>
            </a:solidFill>
            <a:prstDash val="solid"/>
          </a:ln>
        </c:spPr>
        <c:txPr>
          <a:bodyPr rot="0" vert="horz"/>
          <a:lstStyle/>
          <a:p>
            <a:pPr>
              <a:defRPr/>
            </a:pPr>
            <a:endParaRPr lang="en-US"/>
          </a:p>
        </c:txPr>
        <c:crossAx val="135329792"/>
        <c:crosses val="autoZero"/>
        <c:crossBetween val="between"/>
      </c:valAx>
      <c:catAx>
        <c:axId val="239819776"/>
        <c:scaling>
          <c:orientation val="minMax"/>
        </c:scaling>
        <c:delete val="1"/>
        <c:axPos val="b"/>
        <c:majorTickMark val="out"/>
        <c:minorTickMark val="none"/>
        <c:tickLblPos val="nextTo"/>
        <c:crossAx val="185861248"/>
        <c:crosses val="autoZero"/>
        <c:auto val="1"/>
        <c:lblAlgn val="ctr"/>
        <c:lblOffset val="100"/>
        <c:noMultiLvlLbl val="0"/>
      </c:catAx>
      <c:valAx>
        <c:axId val="185861248"/>
        <c:scaling>
          <c:orientation val="minMax"/>
        </c:scaling>
        <c:delete val="0"/>
        <c:axPos val="r"/>
        <c:numFmt formatCode="0%" sourceLinked="1"/>
        <c:majorTickMark val="cross"/>
        <c:minorTickMark val="none"/>
        <c:tickLblPos val="nextTo"/>
        <c:spPr>
          <a:ln w="2561">
            <a:solidFill>
              <a:srgbClr val="000000"/>
            </a:solidFill>
            <a:prstDash val="solid"/>
          </a:ln>
        </c:spPr>
        <c:txPr>
          <a:bodyPr rot="0" vert="horz"/>
          <a:lstStyle/>
          <a:p>
            <a:pPr>
              <a:defRPr/>
            </a:pPr>
            <a:endParaRPr lang="en-US"/>
          </a:p>
        </c:txPr>
        <c:crossAx val="239819776"/>
        <c:crosses val="max"/>
        <c:crossBetween val="between"/>
      </c:valAx>
      <c:spPr>
        <a:noFill/>
        <a:ln w="10243">
          <a:solidFill>
            <a:srgbClr val="808080"/>
          </a:solidFill>
          <a:prstDash val="solid"/>
        </a:ln>
      </c:spPr>
    </c:plotArea>
    <c:legend>
      <c:legendPos val="t"/>
      <c:layout>
        <c:manualLayout>
          <c:xMode val="edge"/>
          <c:yMode val="edge"/>
          <c:wMode val="edge"/>
          <c:hMode val="edge"/>
          <c:x val="5.4808653088115528E-2"/>
          <c:y val="5.0847557228432391E-3"/>
          <c:w val="0.94415717426465984"/>
          <c:h val="0.10169493638178868"/>
        </c:manualLayout>
      </c:layout>
      <c:overlay val="0"/>
      <c:spPr>
        <a:solidFill>
          <a:srgbClr val="FFFFFF"/>
        </a:solidFill>
        <a:ln w="2561">
          <a:solidFill>
            <a:srgbClr val="000000"/>
          </a:solidFill>
          <a:prstDash val="solid"/>
        </a:ln>
      </c:spPr>
    </c:legend>
    <c:plotVisOnly val="1"/>
    <c:dispBlanksAs val="gap"/>
    <c:showDLblsOverMax val="0"/>
  </c:chart>
  <c:spPr>
    <a:noFill/>
    <a:ln>
      <a:noFill/>
    </a:ln>
  </c:spPr>
  <c:txPr>
    <a:bodyPr/>
    <a:lstStyle/>
    <a:p>
      <a:pPr>
        <a:defRPr sz="1129"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149948293691834E-2"/>
          <c:y val="0.15762711864406781"/>
          <c:w val="0.86866597724922445"/>
          <c:h val="0.74915254237288131"/>
        </c:manualLayout>
      </c:layout>
      <c:lineChart>
        <c:grouping val="standard"/>
        <c:varyColors val="0"/>
        <c:ser>
          <c:idx val="0"/>
          <c:order val="0"/>
          <c:tx>
            <c:strRef>
              <c:f>'results-table'!$J$56</c:f>
              <c:strCache>
                <c:ptCount val="1"/>
                <c:pt idx="0">
                  <c:v>EUR</c:v>
                </c:pt>
              </c:strCache>
            </c:strRef>
          </c:tx>
          <c:spPr>
            <a:ln w="31773">
              <a:solidFill>
                <a:srgbClr val="000080"/>
              </a:solidFill>
              <a:prstDash val="lgDash"/>
            </a:ln>
          </c:spPr>
          <c:marker>
            <c:symbol val="none"/>
          </c:marker>
          <c:cat>
            <c:strRef>
              <c:f>'results-table'!$K$55:$Q$55</c:f>
              <c:strCache>
                <c:ptCount val="7"/>
                <c:pt idx="0">
                  <c:v>NTR</c:v>
                </c:pt>
                <c:pt idx="1">
                  <c:v>ELE</c:v>
                </c:pt>
                <c:pt idx="2">
                  <c:v>EIS</c:v>
                </c:pt>
                <c:pt idx="3">
                  <c:v>OTP</c:v>
                </c:pt>
                <c:pt idx="4">
                  <c:v>WTP</c:v>
                </c:pt>
                <c:pt idx="5">
                  <c:v>ROI</c:v>
                </c:pt>
                <c:pt idx="6">
                  <c:v>C</c:v>
                </c:pt>
              </c:strCache>
            </c:strRef>
          </c:cat>
          <c:val>
            <c:numRef>
              <c:f>'results-table'!$K$56:$Q$56</c:f>
              <c:numCache>
                <c:formatCode>0.0\ %</c:formatCode>
                <c:ptCount val="7"/>
                <c:pt idx="0">
                  <c:v>0</c:v>
                </c:pt>
                <c:pt idx="1">
                  <c:v>0.57363819553833362</c:v>
                </c:pt>
                <c:pt idx="2">
                  <c:v>0.62061280796462759</c:v>
                </c:pt>
                <c:pt idx="3">
                  <c:v>0.6213341009874922</c:v>
                </c:pt>
                <c:pt idx="4">
                  <c:v>0.62167048876497166</c:v>
                </c:pt>
                <c:pt idx="5">
                  <c:v>0.62714002464687368</c:v>
                </c:pt>
                <c:pt idx="6">
                  <c:v>0.63010605918484186</c:v>
                </c:pt>
              </c:numCache>
            </c:numRef>
          </c:val>
          <c:smooth val="0"/>
        </c:ser>
        <c:ser>
          <c:idx val="1"/>
          <c:order val="1"/>
          <c:tx>
            <c:strRef>
              <c:f>'results-table'!$J$57</c:f>
              <c:strCache>
                <c:ptCount val="1"/>
                <c:pt idx="0">
                  <c:v>USA</c:v>
                </c:pt>
              </c:strCache>
            </c:strRef>
          </c:tx>
          <c:spPr>
            <a:ln w="31773">
              <a:solidFill>
                <a:srgbClr val="FF00FF"/>
              </a:solidFill>
              <a:prstDash val="sysDash"/>
            </a:ln>
          </c:spPr>
          <c:marker>
            <c:symbol val="none"/>
          </c:marker>
          <c:cat>
            <c:strRef>
              <c:f>'results-table'!$K$55:$Q$55</c:f>
              <c:strCache>
                <c:ptCount val="7"/>
                <c:pt idx="0">
                  <c:v>NTR</c:v>
                </c:pt>
                <c:pt idx="1">
                  <c:v>ELE</c:v>
                </c:pt>
                <c:pt idx="2">
                  <c:v>EIS</c:v>
                </c:pt>
                <c:pt idx="3">
                  <c:v>OTP</c:v>
                </c:pt>
                <c:pt idx="4">
                  <c:v>WTP</c:v>
                </c:pt>
                <c:pt idx="5">
                  <c:v>ROI</c:v>
                </c:pt>
                <c:pt idx="6">
                  <c:v>C</c:v>
                </c:pt>
              </c:strCache>
            </c:strRef>
          </c:cat>
          <c:val>
            <c:numRef>
              <c:f>'results-table'!$K$57:$Q$57</c:f>
              <c:numCache>
                <c:formatCode>0.0\ %</c:formatCode>
                <c:ptCount val="7"/>
                <c:pt idx="0">
                  <c:v>0</c:v>
                </c:pt>
                <c:pt idx="1">
                  <c:v>0.15617799984110314</c:v>
                </c:pt>
                <c:pt idx="2">
                  <c:v>0.21874806896125565</c:v>
                </c:pt>
                <c:pt idx="3">
                  <c:v>0.21968379516423764</c:v>
                </c:pt>
                <c:pt idx="4">
                  <c:v>0.21964848474148357</c:v>
                </c:pt>
                <c:pt idx="5">
                  <c:v>0.22755801943838783</c:v>
                </c:pt>
                <c:pt idx="6">
                  <c:v>0.23181292538024911</c:v>
                </c:pt>
              </c:numCache>
            </c:numRef>
          </c:val>
          <c:smooth val="0"/>
        </c:ser>
        <c:ser>
          <c:idx val="3"/>
          <c:order val="2"/>
          <c:tx>
            <c:strRef>
              <c:f>'results-table'!$J$59</c:f>
              <c:strCache>
                <c:ptCount val="1"/>
                <c:pt idx="0">
                  <c:v>CAN</c:v>
                </c:pt>
              </c:strCache>
            </c:strRef>
          </c:tx>
          <c:spPr>
            <a:ln w="31773">
              <a:solidFill>
                <a:srgbClr val="000080"/>
              </a:solidFill>
              <a:prstDash val="solid"/>
            </a:ln>
          </c:spPr>
          <c:marker>
            <c:symbol val="square"/>
            <c:size val="5"/>
            <c:spPr>
              <a:noFill/>
              <a:ln>
                <a:solidFill>
                  <a:srgbClr val="000080"/>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'results-table'!$K$59:$Q$59</c:f>
              <c:numCache>
                <c:formatCode>0.0\ %</c:formatCode>
                <c:ptCount val="7"/>
                <c:pt idx="0">
                  <c:v>0</c:v>
                </c:pt>
                <c:pt idx="1">
                  <c:v>0.49064214741213108</c:v>
                </c:pt>
                <c:pt idx="2">
                  <c:v>0.54168767610855695</c:v>
                </c:pt>
                <c:pt idx="3">
                  <c:v>0.54225122349102772</c:v>
                </c:pt>
                <c:pt idx="4">
                  <c:v>0.5422215631024766</c:v>
                </c:pt>
                <c:pt idx="5">
                  <c:v>0.54809432003559255</c:v>
                </c:pt>
                <c:pt idx="6">
                  <c:v>0.55094171733649711</c:v>
                </c:pt>
              </c:numCache>
            </c:numRef>
          </c:val>
          <c:smooth val="0"/>
        </c:ser>
        <c:ser>
          <c:idx val="4"/>
          <c:order val="3"/>
          <c:tx>
            <c:strRef>
              <c:f>'results-table'!$J$60</c:f>
              <c:strCache>
                <c:ptCount val="1"/>
                <c:pt idx="0">
                  <c:v>JPN</c:v>
                </c:pt>
              </c:strCache>
            </c:strRef>
          </c:tx>
          <c:spPr>
            <a:ln w="31773">
              <a:solidFill>
                <a:srgbClr val="800080"/>
              </a:solidFill>
              <a:prstDash val="solid"/>
            </a:ln>
          </c:spPr>
          <c:marker>
            <c:symbol val="circle"/>
            <c:size val="5"/>
            <c:spPr>
              <a:noFill/>
              <a:ln>
                <a:solidFill>
                  <a:srgbClr val="800080"/>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'results-table'!$K$60:$Q$60</c:f>
              <c:numCache>
                <c:formatCode>0.0\ %</c:formatCode>
                <c:ptCount val="7"/>
                <c:pt idx="0">
                  <c:v>0</c:v>
                </c:pt>
                <c:pt idx="1">
                  <c:v>0.87313318933819284</c:v>
                </c:pt>
                <c:pt idx="2">
                  <c:v>0.88821336564744624</c:v>
                </c:pt>
                <c:pt idx="3">
                  <c:v>0.88838449477593651</c:v>
                </c:pt>
                <c:pt idx="4">
                  <c:v>0.88836830688540358</c:v>
                </c:pt>
                <c:pt idx="5">
                  <c:v>0.8900657228355634</c:v>
                </c:pt>
                <c:pt idx="6">
                  <c:v>0.89088205502957762</c:v>
                </c:pt>
              </c:numCache>
            </c:numRef>
          </c:val>
          <c:smooth val="0"/>
        </c:ser>
        <c:ser>
          <c:idx val="5"/>
          <c:order val="4"/>
          <c:tx>
            <c:strRef>
              <c:f>'results-table'!$J$58</c:f>
              <c:strCache>
                <c:ptCount val="1"/>
                <c:pt idx="0">
                  <c:v>AUS</c:v>
                </c:pt>
              </c:strCache>
            </c:strRef>
          </c:tx>
          <c:spPr>
            <a:ln w="31773">
              <a:solidFill>
                <a:srgbClr val="800000"/>
              </a:solidFill>
              <a:prstDash val="solid"/>
            </a:ln>
          </c:spPr>
          <c:marker>
            <c:symbol val="triangle"/>
            <c:size val="5"/>
            <c:spPr>
              <a:noFill/>
              <a:ln>
                <a:solidFill>
                  <a:srgbClr val="800000"/>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'results-table'!$K$58:$Q$58</c:f>
              <c:numCache>
                <c:formatCode>0.0\ %</c:formatCode>
                <c:ptCount val="7"/>
                <c:pt idx="0">
                  <c:v>0</c:v>
                </c:pt>
                <c:pt idx="1">
                  <c:v>0.28743595714951087</c:v>
                </c:pt>
                <c:pt idx="2">
                  <c:v>0.34449231485794118</c:v>
                </c:pt>
                <c:pt idx="3">
                  <c:v>0.3451909641360037</c:v>
                </c:pt>
                <c:pt idx="4">
                  <c:v>0.34513274336283184</c:v>
                </c:pt>
                <c:pt idx="5">
                  <c:v>0.35188635305076843</c:v>
                </c:pt>
                <c:pt idx="6">
                  <c:v>0.35520493712156498</c:v>
                </c:pt>
              </c:numCache>
            </c:numRef>
          </c:val>
          <c:smooth val="0"/>
        </c:ser>
        <c:ser>
          <c:idx val="9"/>
          <c:order val="8"/>
          <c:tx>
            <c:strRef>
              <c:f>'results-table'!$J$66</c:f>
              <c:strCache>
                <c:ptCount val="1"/>
                <c:pt idx="0">
                  <c:v>BRA</c:v>
                </c:pt>
              </c:strCache>
            </c:strRef>
          </c:tx>
          <c:spPr>
            <a:ln w="31773">
              <a:solidFill>
                <a:srgbClr val="000080"/>
              </a:solidFill>
              <a:prstDash val="sysDash"/>
            </a:ln>
          </c:spPr>
          <c:marker>
            <c:symbol val="diamond"/>
            <c:size val="5"/>
            <c:spPr>
              <a:noFill/>
              <a:ln>
                <a:solidFill>
                  <a:srgbClr val="000080"/>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'results-table'!$K$66:$Q$66</c:f>
              <c:numCache>
                <c:formatCode>0.0\ %</c:formatCode>
                <c:ptCount val="7"/>
                <c:pt idx="0">
                  <c:v>0</c:v>
                </c:pt>
                <c:pt idx="1">
                  <c:v>0.65918742109491557</c:v>
                </c:pt>
                <c:pt idx="2">
                  <c:v>0.70793641684838748</c:v>
                </c:pt>
                <c:pt idx="3">
                  <c:v>0.70836680821760589</c:v>
                </c:pt>
                <c:pt idx="4">
                  <c:v>0.70830942270171005</c:v>
                </c:pt>
                <c:pt idx="5">
                  <c:v>0.7125846436359462</c:v>
                </c:pt>
                <c:pt idx="6">
                  <c:v>0.71462182945024666</c:v>
                </c:pt>
              </c:numCache>
            </c:numRef>
          </c:val>
          <c:smooth val="0"/>
        </c:ser>
        <c:ser>
          <c:idx val="10"/>
          <c:order val="9"/>
          <c:tx>
            <c:strRef>
              <c:f>'results-table'!$J$62</c:f>
              <c:strCache>
                <c:ptCount val="1"/>
                <c:pt idx="0">
                  <c:v>KOR</c:v>
                </c:pt>
              </c:strCache>
            </c:strRef>
          </c:tx>
          <c:spPr>
            <a:ln w="31773">
              <a:solidFill>
                <a:srgbClr val="800000"/>
              </a:solidFill>
              <a:prstDash val="lgDash"/>
            </a:ln>
          </c:spPr>
          <c:marker>
            <c:symbol val="triangle"/>
            <c:size val="5"/>
            <c:spPr>
              <a:noFill/>
              <a:ln>
                <a:solidFill>
                  <a:srgbClr val="800000"/>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'results-table'!$K$62:$Q$62</c:f>
              <c:numCache>
                <c:formatCode>0.0\ %</c:formatCode>
                <c:ptCount val="7"/>
                <c:pt idx="0">
                  <c:v>0</c:v>
                </c:pt>
                <c:pt idx="1">
                  <c:v>0.19451005946078037</c:v>
                </c:pt>
                <c:pt idx="2">
                  <c:v>0.24973527734788625</c:v>
                </c:pt>
                <c:pt idx="3">
                  <c:v>0.25038690233770466</c:v>
                </c:pt>
                <c:pt idx="4">
                  <c:v>0.25030544921397735</c:v>
                </c:pt>
                <c:pt idx="5">
                  <c:v>0.25698460535961554</c:v>
                </c:pt>
                <c:pt idx="6">
                  <c:v>0.26024273030870737</c:v>
                </c:pt>
              </c:numCache>
            </c:numRef>
          </c:val>
          <c:smooth val="0"/>
        </c:ser>
        <c:ser>
          <c:idx val="11"/>
          <c:order val="10"/>
          <c:tx>
            <c:strRef>
              <c:f>'results-table'!$J$63</c:f>
              <c:strCache>
                <c:ptCount val="1"/>
                <c:pt idx="0">
                  <c:v>MEX</c:v>
                </c:pt>
              </c:strCache>
            </c:strRef>
          </c:tx>
          <c:spPr>
            <a:ln w="31773">
              <a:solidFill>
                <a:srgbClr val="333399"/>
              </a:solidFill>
              <a:prstDash val="lgDash"/>
            </a:ln>
          </c:spPr>
          <c:marker>
            <c:symbol val="circle"/>
            <c:size val="5"/>
            <c:spPr>
              <a:noFill/>
              <a:ln>
                <a:solidFill>
                  <a:srgbClr val="333399"/>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'results-table'!$K$63:$Q$63</c:f>
              <c:numCache>
                <c:formatCode>0.0\ %</c:formatCode>
                <c:ptCount val="7"/>
                <c:pt idx="0">
                  <c:v>0</c:v>
                </c:pt>
                <c:pt idx="1">
                  <c:v>0.46499712147380545</c:v>
                </c:pt>
                <c:pt idx="2">
                  <c:v>0.52170408750719632</c:v>
                </c:pt>
                <c:pt idx="3">
                  <c:v>0.52233736327000568</c:v>
                </c:pt>
                <c:pt idx="4">
                  <c:v>0.52227979274611402</c:v>
                </c:pt>
                <c:pt idx="5">
                  <c:v>0.52878526194588371</c:v>
                </c:pt>
                <c:pt idx="6">
                  <c:v>0.53189407023603907</c:v>
                </c:pt>
              </c:numCache>
            </c:numRef>
          </c:val>
          <c:smooth val="0"/>
        </c:ser>
        <c:ser>
          <c:idx val="12"/>
          <c:order val="11"/>
          <c:tx>
            <c:strRef>
              <c:f>'results-table'!$J$67</c:f>
              <c:strCache>
                <c:ptCount val="1"/>
                <c:pt idx="0">
                  <c:v>ZAF</c:v>
                </c:pt>
              </c:strCache>
            </c:strRef>
          </c:tx>
          <c:spPr>
            <a:ln w="31773">
              <a:solidFill>
                <a:srgbClr val="99CCFF"/>
              </a:solidFill>
              <a:prstDash val="lgDash"/>
            </a:ln>
          </c:spPr>
          <c:marker>
            <c:symbol val="square"/>
            <c:size val="5"/>
            <c:spPr>
              <a:noFill/>
              <a:ln>
                <a:solidFill>
                  <a:srgbClr val="99CCFF"/>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'results-table'!$K$67:$Q$67</c:f>
              <c:numCache>
                <c:formatCode>0.0\ %</c:formatCode>
                <c:ptCount val="7"/>
                <c:pt idx="0">
                  <c:v>0</c:v>
                </c:pt>
                <c:pt idx="1">
                  <c:v>0.35923653715064763</c:v>
                </c:pt>
                <c:pt idx="2">
                  <c:v>0.1885935014769371</c:v>
                </c:pt>
                <c:pt idx="3">
                  <c:v>0.18700295387411958</c:v>
                </c:pt>
                <c:pt idx="4">
                  <c:v>0.18723017496023642</c:v>
                </c:pt>
                <c:pt idx="5">
                  <c:v>0.17087025675982737</c:v>
                </c:pt>
                <c:pt idx="6">
                  <c:v>0.1631447398318564</c:v>
                </c:pt>
              </c:numCache>
            </c:numRef>
          </c:val>
          <c:smooth val="0"/>
        </c:ser>
        <c:ser>
          <c:idx val="2"/>
          <c:order val="12"/>
          <c:tx>
            <c:strRef>
              <c:f>'results-table'!$J$68</c:f>
              <c:strCache>
                <c:ptCount val="1"/>
                <c:pt idx="0">
                  <c:v>ALL</c:v>
                </c:pt>
              </c:strCache>
            </c:strRef>
          </c:tx>
          <c:spPr>
            <a:ln w="31773">
              <a:solidFill>
                <a:srgbClr val="000000"/>
              </a:solidFill>
              <a:prstDash val="solid"/>
            </a:ln>
          </c:spPr>
          <c:marker>
            <c:symbol val="none"/>
          </c:marker>
          <c:cat>
            <c:strRef>
              <c:f>'results-table'!$K$55:$Q$55</c:f>
              <c:strCache>
                <c:ptCount val="7"/>
                <c:pt idx="0">
                  <c:v>NTR</c:v>
                </c:pt>
                <c:pt idx="1">
                  <c:v>ELE</c:v>
                </c:pt>
                <c:pt idx="2">
                  <c:v>EIS</c:v>
                </c:pt>
                <c:pt idx="3">
                  <c:v>OTP</c:v>
                </c:pt>
                <c:pt idx="4">
                  <c:v>WTP</c:v>
                </c:pt>
                <c:pt idx="5">
                  <c:v>ROI</c:v>
                </c:pt>
                <c:pt idx="6">
                  <c:v>C</c:v>
                </c:pt>
              </c:strCache>
            </c:strRef>
          </c:cat>
          <c:val>
            <c:numRef>
              <c:f>'results-table'!$K$68:$Q$68</c:f>
              <c:numCache>
                <c:formatCode>0.0\ %</c:formatCode>
                <c:ptCount val="7"/>
                <c:pt idx="0">
                  <c:v>0</c:v>
                </c:pt>
                <c:pt idx="1">
                  <c:v>0.72528177107486347</c:v>
                </c:pt>
                <c:pt idx="2">
                  <c:v>0.74567514164163162</c:v>
                </c:pt>
                <c:pt idx="3">
                  <c:v>0.74620239127366583</c:v>
                </c:pt>
                <c:pt idx="4">
                  <c:v>0.74660866584672458</c:v>
                </c:pt>
                <c:pt idx="5">
                  <c:v>0.74902111014779127</c:v>
                </c:pt>
                <c:pt idx="6">
                  <c:v>0.75057463153013293</c:v>
                </c:pt>
              </c:numCache>
            </c:numRef>
          </c:val>
          <c:smooth val="0"/>
        </c:ser>
        <c:dLbls>
          <c:showLegendKey val="0"/>
          <c:showVal val="0"/>
          <c:showCatName val="0"/>
          <c:showSerName val="0"/>
          <c:showPercent val="0"/>
          <c:showBubbleSize val="0"/>
        </c:dLbls>
        <c:marker val="1"/>
        <c:smooth val="0"/>
        <c:axId val="227571712"/>
        <c:axId val="183162496"/>
      </c:lineChart>
      <c:lineChart>
        <c:grouping val="standard"/>
        <c:varyColors val="0"/>
        <c:ser>
          <c:idx val="6"/>
          <c:order val="5"/>
          <c:tx>
            <c:strRef>
              <c:f>'results-table'!$J$61</c:f>
              <c:strCache>
                <c:ptCount val="1"/>
                <c:pt idx="0">
                  <c:v>RUS (RH)</c:v>
                </c:pt>
              </c:strCache>
            </c:strRef>
          </c:tx>
          <c:spPr>
            <a:ln w="31773">
              <a:solidFill>
                <a:srgbClr val="008080"/>
              </a:solidFill>
              <a:prstDash val="sysDash"/>
            </a:ln>
          </c:spPr>
          <c:marker>
            <c:symbol val="square"/>
            <c:size val="5"/>
            <c:spPr>
              <a:noFill/>
              <a:ln>
                <a:solidFill>
                  <a:srgbClr val="008080"/>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'results-table'!$K$61:$Q$61</c:f>
              <c:numCache>
                <c:formatCode>0.0\ %</c:formatCode>
                <c:ptCount val="7"/>
                <c:pt idx="0">
                  <c:v>0</c:v>
                </c:pt>
                <c:pt idx="1">
                  <c:v>1.6465596330275227</c:v>
                </c:pt>
                <c:pt idx="2">
                  <c:v>1.0227064220183486</c:v>
                </c:pt>
                <c:pt idx="3">
                  <c:v>1.0172018348623852</c:v>
                </c:pt>
                <c:pt idx="4">
                  <c:v>1.0178899082568806</c:v>
                </c:pt>
                <c:pt idx="5">
                  <c:v>0.9568807339449541</c:v>
                </c:pt>
                <c:pt idx="6">
                  <c:v>0.92912844036697251</c:v>
                </c:pt>
              </c:numCache>
            </c:numRef>
          </c:val>
          <c:smooth val="0"/>
        </c:ser>
        <c:ser>
          <c:idx val="7"/>
          <c:order val="6"/>
          <c:tx>
            <c:strRef>
              <c:f>'results-table'!$J$64</c:f>
              <c:strCache>
                <c:ptCount val="1"/>
                <c:pt idx="0">
                  <c:v>CHN (RH)</c:v>
                </c:pt>
              </c:strCache>
            </c:strRef>
          </c:tx>
          <c:spPr>
            <a:ln w="31773">
              <a:solidFill>
                <a:srgbClr val="0000FF"/>
              </a:solidFill>
              <a:prstDash val="sysDash"/>
            </a:ln>
          </c:spPr>
          <c:marker>
            <c:symbol val="circle"/>
            <c:size val="5"/>
            <c:spPr>
              <a:noFill/>
              <a:ln>
                <a:solidFill>
                  <a:srgbClr val="0000FF"/>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'results-table'!$K$64:$Q$64</c:f>
              <c:numCache>
                <c:formatCode>0.0\ %</c:formatCode>
                <c:ptCount val="7"/>
                <c:pt idx="0">
                  <c:v>0</c:v>
                </c:pt>
                <c:pt idx="1">
                  <c:v>6.138329604772558</c:v>
                </c:pt>
                <c:pt idx="2">
                  <c:v>5.6599552572706937</c:v>
                </c:pt>
                <c:pt idx="3">
                  <c:v>5.673005219985086</c:v>
                </c:pt>
                <c:pt idx="4">
                  <c:v>5.7015287099179721</c:v>
                </c:pt>
                <c:pt idx="5">
                  <c:v>5.6384228187919465</c:v>
                </c:pt>
                <c:pt idx="6">
                  <c:v>5.6280760626398214</c:v>
                </c:pt>
              </c:numCache>
            </c:numRef>
          </c:val>
          <c:smooth val="0"/>
        </c:ser>
        <c:ser>
          <c:idx val="8"/>
          <c:order val="7"/>
          <c:tx>
            <c:strRef>
              <c:f>'results-table'!$J$65</c:f>
              <c:strCache>
                <c:ptCount val="1"/>
                <c:pt idx="0">
                  <c:v>IND (RH)</c:v>
                </c:pt>
              </c:strCache>
            </c:strRef>
          </c:tx>
          <c:spPr>
            <a:ln w="31773">
              <a:solidFill>
                <a:srgbClr val="00CCFF"/>
              </a:solidFill>
              <a:prstDash val="lgDashDot"/>
            </a:ln>
          </c:spPr>
          <c:marker>
            <c:symbol val="triangle"/>
            <c:size val="8"/>
            <c:spPr>
              <a:noFill/>
              <a:ln>
                <a:solidFill>
                  <a:srgbClr val="00CCFF"/>
                </a:solidFill>
                <a:prstDash val="solid"/>
              </a:ln>
            </c:spPr>
          </c:marker>
          <c:cat>
            <c:strRef>
              <c:f>'results-table'!$K$55:$Q$55</c:f>
              <c:strCache>
                <c:ptCount val="7"/>
                <c:pt idx="0">
                  <c:v>NTR</c:v>
                </c:pt>
                <c:pt idx="1">
                  <c:v>ELE</c:v>
                </c:pt>
                <c:pt idx="2">
                  <c:v>EIS</c:v>
                </c:pt>
                <c:pt idx="3">
                  <c:v>OTP</c:v>
                </c:pt>
                <c:pt idx="4">
                  <c:v>WTP</c:v>
                </c:pt>
                <c:pt idx="5">
                  <c:v>ROI</c:v>
                </c:pt>
                <c:pt idx="6">
                  <c:v>C</c:v>
                </c:pt>
              </c:strCache>
            </c:strRef>
          </c:cat>
          <c:val>
            <c:numRef>
              <c:f>'results-table'!$K$65:$Q$65</c:f>
              <c:numCache>
                <c:formatCode>0.0\ %</c:formatCode>
                <c:ptCount val="7"/>
                <c:pt idx="0">
                  <c:v>0</c:v>
                </c:pt>
                <c:pt idx="1">
                  <c:v>7.896850753080785</c:v>
                </c:pt>
                <c:pt idx="2">
                  <c:v>5.4491099954358742</c:v>
                </c:pt>
                <c:pt idx="3">
                  <c:v>5.4244637151985398</c:v>
                </c:pt>
                <c:pt idx="4">
                  <c:v>5.4272021907804655</c:v>
                </c:pt>
                <c:pt idx="5">
                  <c:v>5.1665905979005018</c:v>
                </c:pt>
                <c:pt idx="6">
                  <c:v>5.046554084892743</c:v>
                </c:pt>
              </c:numCache>
            </c:numRef>
          </c:val>
          <c:smooth val="0"/>
        </c:ser>
        <c:dLbls>
          <c:showLegendKey val="0"/>
          <c:showVal val="0"/>
          <c:showCatName val="0"/>
          <c:showSerName val="0"/>
          <c:showPercent val="0"/>
          <c:showBubbleSize val="0"/>
        </c:dLbls>
        <c:marker val="1"/>
        <c:smooth val="0"/>
        <c:axId val="227572224"/>
        <c:axId val="37267712"/>
      </c:lineChart>
      <c:catAx>
        <c:axId val="227571712"/>
        <c:scaling>
          <c:orientation val="minMax"/>
        </c:scaling>
        <c:delete val="0"/>
        <c:axPos val="b"/>
        <c:numFmt formatCode="@" sourceLinked="0"/>
        <c:majorTickMark val="out"/>
        <c:minorTickMark val="none"/>
        <c:tickLblPos val="low"/>
        <c:spPr>
          <a:ln w="2648">
            <a:solidFill>
              <a:srgbClr val="000000"/>
            </a:solidFill>
            <a:prstDash val="solid"/>
          </a:ln>
        </c:spPr>
        <c:txPr>
          <a:bodyPr rot="0" vert="horz"/>
          <a:lstStyle/>
          <a:p>
            <a:pPr>
              <a:defRPr sz="1147" b="0" i="1" u="none" strike="noStrike" baseline="0">
                <a:solidFill>
                  <a:srgbClr val="000000"/>
                </a:solidFill>
                <a:latin typeface="Arial"/>
                <a:ea typeface="Arial"/>
                <a:cs typeface="Arial"/>
              </a:defRPr>
            </a:pPr>
            <a:endParaRPr lang="en-US"/>
          </a:p>
        </c:txPr>
        <c:crossAx val="183162496"/>
        <c:crosses val="autoZero"/>
        <c:auto val="1"/>
        <c:lblAlgn val="ctr"/>
        <c:lblOffset val="100"/>
        <c:tickLblSkip val="1"/>
        <c:tickMarkSkip val="1"/>
        <c:noMultiLvlLbl val="0"/>
      </c:catAx>
      <c:valAx>
        <c:axId val="183162496"/>
        <c:scaling>
          <c:orientation val="minMax"/>
          <c:max val="0.9"/>
          <c:min val="0"/>
        </c:scaling>
        <c:delete val="0"/>
        <c:axPos val="l"/>
        <c:majorGridlines>
          <c:spPr>
            <a:ln w="2648">
              <a:solidFill>
                <a:srgbClr val="000000"/>
              </a:solidFill>
              <a:prstDash val="sysDash"/>
            </a:ln>
          </c:spPr>
        </c:majorGridlines>
        <c:numFmt formatCode="0%" sourceLinked="0"/>
        <c:majorTickMark val="out"/>
        <c:minorTickMark val="none"/>
        <c:tickLblPos val="nextTo"/>
        <c:spPr>
          <a:ln w="2648">
            <a:solidFill>
              <a:srgbClr val="000000"/>
            </a:solidFill>
            <a:prstDash val="solid"/>
          </a:ln>
        </c:spPr>
        <c:txPr>
          <a:bodyPr rot="0" vert="horz"/>
          <a:lstStyle/>
          <a:p>
            <a:pPr>
              <a:defRPr sz="1147" b="0" i="0" u="none" strike="noStrike" baseline="0">
                <a:solidFill>
                  <a:srgbClr val="000000"/>
                </a:solidFill>
                <a:latin typeface="Arial"/>
                <a:ea typeface="Arial"/>
                <a:cs typeface="Arial"/>
              </a:defRPr>
            </a:pPr>
            <a:endParaRPr lang="en-US"/>
          </a:p>
        </c:txPr>
        <c:crossAx val="227571712"/>
        <c:crosses val="autoZero"/>
        <c:crossBetween val="between"/>
        <c:majorUnit val="0.1"/>
      </c:valAx>
      <c:catAx>
        <c:axId val="227572224"/>
        <c:scaling>
          <c:orientation val="minMax"/>
        </c:scaling>
        <c:delete val="1"/>
        <c:axPos val="b"/>
        <c:majorTickMark val="out"/>
        <c:minorTickMark val="none"/>
        <c:tickLblPos val="nextTo"/>
        <c:crossAx val="37267712"/>
        <c:crosses val="autoZero"/>
        <c:auto val="1"/>
        <c:lblAlgn val="ctr"/>
        <c:lblOffset val="100"/>
        <c:noMultiLvlLbl val="0"/>
      </c:catAx>
      <c:valAx>
        <c:axId val="37267712"/>
        <c:scaling>
          <c:orientation val="minMax"/>
        </c:scaling>
        <c:delete val="0"/>
        <c:axPos val="r"/>
        <c:numFmt formatCode="0%" sourceLinked="0"/>
        <c:majorTickMark val="cross"/>
        <c:minorTickMark val="none"/>
        <c:tickLblPos val="nextTo"/>
        <c:spPr>
          <a:ln w="2648">
            <a:solidFill>
              <a:srgbClr val="000000"/>
            </a:solidFill>
            <a:prstDash val="solid"/>
          </a:ln>
        </c:spPr>
        <c:txPr>
          <a:bodyPr rot="0" vert="horz"/>
          <a:lstStyle/>
          <a:p>
            <a:pPr>
              <a:defRPr sz="1147" b="0" i="0" u="none" strike="noStrike" baseline="0">
                <a:solidFill>
                  <a:srgbClr val="000000"/>
                </a:solidFill>
                <a:latin typeface="Arial"/>
                <a:ea typeface="Arial"/>
                <a:cs typeface="Arial"/>
              </a:defRPr>
            </a:pPr>
            <a:endParaRPr lang="en-US"/>
          </a:p>
        </c:txPr>
        <c:crossAx val="227572224"/>
        <c:crosses val="max"/>
        <c:crossBetween val="between"/>
      </c:valAx>
      <c:spPr>
        <a:noFill/>
        <a:ln w="10591">
          <a:solidFill>
            <a:srgbClr val="808080"/>
          </a:solidFill>
          <a:prstDash val="solid"/>
        </a:ln>
      </c:spPr>
    </c:plotArea>
    <c:legend>
      <c:legendPos val="r"/>
      <c:layout>
        <c:manualLayout>
          <c:xMode val="edge"/>
          <c:yMode val="edge"/>
          <c:x val="1.7598343685300208E-2"/>
          <c:y val="3.3955857385398981E-3"/>
          <c:w val="0.96376811594202894"/>
          <c:h val="0.13073005093378609"/>
        </c:manualLayout>
      </c:layout>
      <c:overlay val="0"/>
      <c:spPr>
        <a:solidFill>
          <a:srgbClr val="FFFFFF"/>
        </a:solidFill>
        <a:ln w="2648">
          <a:solidFill>
            <a:srgbClr val="000000"/>
          </a:solidFill>
          <a:prstDash val="solid"/>
        </a:ln>
      </c:spPr>
      <c:txPr>
        <a:bodyPr/>
        <a:lstStyle/>
        <a:p>
          <a:pPr>
            <a:defRPr sz="997"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68"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10800</Words>
  <Characters>61561</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Viguier et al</vt:lpstr>
    </vt:vector>
  </TitlesOfParts>
  <Company>Statistisk sentralbyrå</Company>
  <LinksUpToDate>false</LinksUpToDate>
  <CharactersWithSpaces>72217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Viguier et al</dc:title>
  <dc:creator>Knut Einar Rosendahl</dc:creator>
  <cp:lastModifiedBy>Dijkstra Bouwe</cp:lastModifiedBy>
  <cp:revision>2</cp:revision>
  <cp:lastPrinted>2011-03-22T15:44:00Z</cp:lastPrinted>
  <dcterms:created xsi:type="dcterms:W3CDTF">2016-01-22T11:32:00Z</dcterms:created>
  <dcterms:modified xsi:type="dcterms:W3CDTF">2016-01-22T11:32:00Z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WinEqns">
    <vt:bool>true</vt:bool>
  </property>
</Properties>
</file>