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61A8" w14:textId="77777777" w:rsidR="00157A0E" w:rsidRPr="00157A0E" w:rsidRDefault="00157A0E" w:rsidP="00157A0E">
      <w:pPr>
        <w:rPr>
          <w:b/>
          <w:sz w:val="36"/>
          <w:szCs w:val="32"/>
        </w:rPr>
      </w:pPr>
      <w:r w:rsidRPr="00157A0E">
        <w:rPr>
          <w:b/>
          <w:sz w:val="36"/>
          <w:szCs w:val="32"/>
        </w:rPr>
        <w:t xml:space="preserve">Growing research in geriatric medicine </w:t>
      </w:r>
    </w:p>
    <w:p w14:paraId="585E3ACE" w14:textId="77777777" w:rsidR="00157A0E" w:rsidRDefault="00157A0E" w:rsidP="00157A0E">
      <w:pPr>
        <w:jc w:val="center"/>
      </w:pPr>
    </w:p>
    <w:p w14:paraId="49BA9615" w14:textId="77777777" w:rsidR="007670BF" w:rsidRPr="007670BF" w:rsidRDefault="007670BF" w:rsidP="007670BF">
      <w:pPr>
        <w:rPr>
          <w:b/>
          <w:u w:val="single"/>
        </w:rPr>
      </w:pPr>
      <w:r w:rsidRPr="007670BF">
        <w:rPr>
          <w:b/>
          <w:u w:val="single"/>
        </w:rPr>
        <w:t>Authors:</w:t>
      </w:r>
    </w:p>
    <w:p w14:paraId="2E390656" w14:textId="7E9A43C6" w:rsidR="00157A0E" w:rsidRDefault="00157A0E" w:rsidP="007670BF">
      <w:r>
        <w:t>Miles D Witham</w:t>
      </w:r>
      <w:r w:rsidRPr="00A01D27">
        <w:rPr>
          <w:vertAlign w:val="superscript"/>
        </w:rPr>
        <w:t>1</w:t>
      </w:r>
      <w:r w:rsidR="007670BF">
        <w:t xml:space="preserve">, </w:t>
      </w:r>
      <w:r>
        <w:t>Helen C Roberts</w:t>
      </w:r>
      <w:r w:rsidRPr="00A01D27">
        <w:rPr>
          <w:vertAlign w:val="superscript"/>
        </w:rPr>
        <w:t>2</w:t>
      </w:r>
      <w:r w:rsidR="007670BF">
        <w:t xml:space="preserve">, </w:t>
      </w:r>
      <w:r>
        <w:t>John Gladman</w:t>
      </w:r>
      <w:r w:rsidRPr="00A01D27">
        <w:rPr>
          <w:vertAlign w:val="superscript"/>
        </w:rPr>
        <w:t>3</w:t>
      </w:r>
      <w:r w:rsidR="007670BF">
        <w:t xml:space="preserve">, </w:t>
      </w:r>
      <w:r>
        <w:t>David J Stott</w:t>
      </w:r>
      <w:r w:rsidRPr="00A01D27">
        <w:rPr>
          <w:vertAlign w:val="superscript"/>
        </w:rPr>
        <w:t>4</w:t>
      </w:r>
      <w:r w:rsidR="007670BF">
        <w:t xml:space="preserve">, </w:t>
      </w:r>
      <w:r>
        <w:t>Avan Aihie Sayer</w:t>
      </w:r>
      <w:r w:rsidRPr="00A01D27">
        <w:rPr>
          <w:vertAlign w:val="superscript"/>
        </w:rPr>
        <w:t>1</w:t>
      </w:r>
    </w:p>
    <w:p w14:paraId="5CB4D400" w14:textId="77777777" w:rsidR="00157A0E" w:rsidRDefault="00157A0E" w:rsidP="00157A0E">
      <w:r>
        <w:t xml:space="preserve">1. </w:t>
      </w:r>
      <w:r w:rsidRPr="00A01D27">
        <w:t>AGE Research Group, Institute of Neuroscience, Newcastle University, United Kingdom; NIHR Newcastle Biomedical Research Centre, Newcastle upon Tyne Hospitals NHS Foundation Trust and Newcastle University, United Kingdom; Newcastle University Institute for Ageing, United Kingdom</w:t>
      </w:r>
    </w:p>
    <w:p w14:paraId="2035FE23" w14:textId="77777777" w:rsidR="00157A0E" w:rsidRDefault="00157A0E" w:rsidP="00157A0E">
      <w:r w:rsidRPr="00A135AE">
        <w:t>2. Academic Geriatric Medicine and CLAHRC Wessex, University of Southampton, UK; Southampton BRC, University Hospital Southampton</w:t>
      </w:r>
      <w:r w:rsidRPr="006E2B3A">
        <w:t xml:space="preserve"> NHS Foundation Trust, Southampton, UK.</w:t>
      </w:r>
    </w:p>
    <w:p w14:paraId="52633B09" w14:textId="77777777" w:rsidR="00157A0E" w:rsidRDefault="00157A0E" w:rsidP="00157A0E">
      <w:r>
        <w:t>3. School of Medicine, University of Nottingham, UK; CLAHRC East Midlands, UK; Nottingham BRC, UK</w:t>
      </w:r>
    </w:p>
    <w:p w14:paraId="43DCBC8F" w14:textId="77777777" w:rsidR="00157A0E" w:rsidRDefault="00157A0E" w:rsidP="00157A0E">
      <w:r>
        <w:t>4.</w:t>
      </w:r>
      <w:r w:rsidRPr="005751B3">
        <w:t xml:space="preserve"> Institute of Cardiovascular and Medical Sciences, University of Glasgow, UK</w:t>
      </w:r>
    </w:p>
    <w:p w14:paraId="68AE2F30" w14:textId="322416BB" w:rsidR="007670BF" w:rsidRPr="00157A0E" w:rsidRDefault="00F73F52" w:rsidP="007670BF">
      <w:pPr>
        <w:rPr>
          <w:b/>
        </w:rPr>
      </w:pPr>
      <w:r>
        <w:t>5. The</w:t>
      </w:r>
      <w:r w:rsidR="00157A0E">
        <w:t xml:space="preserve"> extended working group</w:t>
      </w:r>
      <w:r w:rsidR="007670BF">
        <w:t>*</w:t>
      </w:r>
      <w:r w:rsidR="00157A0E">
        <w:t xml:space="preserve"> from the NIHR Newcastle Biomedical Research Centre meeting.</w:t>
      </w:r>
      <w:r w:rsidR="007670BF">
        <w:t xml:space="preserve"> </w:t>
      </w:r>
    </w:p>
    <w:p w14:paraId="60F60277" w14:textId="7D552278" w:rsidR="00157A0E" w:rsidRDefault="007670BF" w:rsidP="00157A0E">
      <w:r>
        <w:t xml:space="preserve"> </w:t>
      </w:r>
    </w:p>
    <w:p w14:paraId="137BC162" w14:textId="7B2C8D15" w:rsidR="009765F4" w:rsidRPr="009765F4" w:rsidRDefault="009765F4" w:rsidP="00157A0E">
      <w:pPr>
        <w:rPr>
          <w:b/>
        </w:rPr>
      </w:pPr>
      <w:r w:rsidRPr="009765F4">
        <w:rPr>
          <w:b/>
        </w:rPr>
        <w:t>Declaration of conflicts of interest:</w:t>
      </w:r>
      <w:r w:rsidR="00E3045E">
        <w:rPr>
          <w:b/>
        </w:rPr>
        <w:t xml:space="preserve"> None to declare</w:t>
      </w:r>
    </w:p>
    <w:p w14:paraId="0F061F5B" w14:textId="77777777" w:rsidR="009765F4" w:rsidRDefault="009765F4" w:rsidP="00157A0E">
      <w:pPr>
        <w:rPr>
          <w:b/>
        </w:rPr>
      </w:pPr>
    </w:p>
    <w:p w14:paraId="2C008096" w14:textId="3079DA88" w:rsidR="009765F4" w:rsidRPr="009765F4" w:rsidRDefault="009765F4" w:rsidP="00157A0E">
      <w:pPr>
        <w:rPr>
          <w:b/>
        </w:rPr>
      </w:pPr>
      <w:r w:rsidRPr="009765F4">
        <w:rPr>
          <w:b/>
        </w:rPr>
        <w:t>Declaration of Sources of Funding:</w:t>
      </w:r>
      <w:r w:rsidR="00E3045E">
        <w:rPr>
          <w:b/>
        </w:rPr>
        <w:t xml:space="preserve"> The meeting reported in this commentary was hosted by the NIHR Newcastle Biomedical Research Centre, funded by the National Institute for Health Research, UK</w:t>
      </w:r>
    </w:p>
    <w:p w14:paraId="0DB67704" w14:textId="77777777" w:rsidR="009765F4" w:rsidRDefault="009765F4" w:rsidP="00157A0E"/>
    <w:p w14:paraId="46185439" w14:textId="2E63E7A6" w:rsidR="007670BF" w:rsidRPr="007670BF" w:rsidRDefault="007670BF" w:rsidP="00157A0E">
      <w:pPr>
        <w:rPr>
          <w:b/>
          <w:u w:val="single"/>
        </w:rPr>
      </w:pPr>
      <w:r w:rsidRPr="007670BF">
        <w:rPr>
          <w:b/>
          <w:u w:val="single"/>
        </w:rPr>
        <w:t>Abstract:</w:t>
      </w:r>
    </w:p>
    <w:p w14:paraId="39C11CD1" w14:textId="77777777" w:rsidR="00157A0E" w:rsidRDefault="00157A0E" w:rsidP="007670BF">
      <w:pPr>
        <w:rPr>
          <w:b/>
          <w:sz w:val="32"/>
          <w:szCs w:val="32"/>
        </w:rPr>
      </w:pPr>
    </w:p>
    <w:p w14:paraId="3EC9FE4E" w14:textId="775D3ED7" w:rsidR="007670BF" w:rsidRPr="007670BF" w:rsidRDefault="007670BF" w:rsidP="007670BF">
      <w:pPr>
        <w:rPr>
          <w:b/>
        </w:rPr>
      </w:pPr>
      <w:r>
        <w:rPr>
          <w:b/>
        </w:rPr>
        <w:t xml:space="preserve">Keywords: </w:t>
      </w:r>
      <w:r w:rsidR="00AD53C2" w:rsidRPr="00AD53C2">
        <w:t>Translational r</w:t>
      </w:r>
      <w:r w:rsidR="00AD53C2">
        <w:t>esearch</w:t>
      </w:r>
      <w:r w:rsidRPr="007670BF">
        <w:t>, Academic geriatric medicine</w:t>
      </w:r>
      <w:bookmarkStart w:id="0" w:name="_GoBack"/>
      <w:bookmarkEnd w:id="0"/>
      <w:r w:rsidRPr="007670BF">
        <w:t>, Capacity building, older people</w:t>
      </w:r>
      <w:r>
        <w:rPr>
          <w:b/>
        </w:rPr>
        <w:t>.</w:t>
      </w:r>
    </w:p>
    <w:p w14:paraId="075E771A" w14:textId="4737F23C" w:rsidR="007670BF" w:rsidRPr="007670BF" w:rsidRDefault="009765F4" w:rsidP="007670BF">
      <w:pPr>
        <w:rPr>
          <w:b/>
        </w:rPr>
      </w:pPr>
      <w:proofErr w:type="spellStart"/>
      <w:r>
        <w:rPr>
          <w:b/>
        </w:rPr>
        <w:t>Keypoints</w:t>
      </w:r>
      <w:proofErr w:type="spellEnd"/>
      <w:r>
        <w:rPr>
          <w:b/>
        </w:rPr>
        <w:t>:</w:t>
      </w:r>
    </w:p>
    <w:p w14:paraId="14E031DE" w14:textId="77777777" w:rsidR="009765F4" w:rsidRDefault="007670BF" w:rsidP="007670BF">
      <w:pPr>
        <w:pStyle w:val="ListParagraph"/>
        <w:numPr>
          <w:ilvl w:val="0"/>
          <w:numId w:val="2"/>
        </w:numPr>
      </w:pPr>
      <w:r w:rsidRPr="007670BF">
        <w:t>The volume of geriatric medicine research lags behind the</w:t>
      </w:r>
      <w:r w:rsidR="009765F4">
        <w:t xml:space="preserve"> volume of clinical activity  </w:t>
      </w:r>
    </w:p>
    <w:p w14:paraId="74BDF118" w14:textId="77777777" w:rsidR="009765F4" w:rsidRDefault="007670BF" w:rsidP="007670BF">
      <w:pPr>
        <w:pStyle w:val="ListParagraph"/>
        <w:numPr>
          <w:ilvl w:val="0"/>
          <w:numId w:val="2"/>
        </w:numPr>
      </w:pPr>
      <w:r w:rsidRPr="007670BF">
        <w:t>Culture, a lack of research capacity, and failure to translate research into pra</w:t>
      </w:r>
      <w:r w:rsidR="009765F4">
        <w:t xml:space="preserve">ctice all contribute to this  </w:t>
      </w:r>
    </w:p>
    <w:p w14:paraId="7F2707ED" w14:textId="1E947A25" w:rsidR="007670BF" w:rsidRDefault="007670BF" w:rsidP="007670BF">
      <w:pPr>
        <w:pStyle w:val="ListParagraph"/>
        <w:numPr>
          <w:ilvl w:val="0"/>
          <w:numId w:val="2"/>
        </w:numPr>
      </w:pPr>
      <w:r w:rsidRPr="007670BF">
        <w:t xml:space="preserve">Solutions include new funding, supporting academic trainees, involving non-academic clinicians, and ensuring </w:t>
      </w:r>
      <w:r w:rsidR="009765F4" w:rsidRPr="007670BF">
        <w:t>research</w:t>
      </w:r>
      <w:r w:rsidRPr="007670BF">
        <w:t xml:space="preserve"> is usable</w:t>
      </w:r>
    </w:p>
    <w:p w14:paraId="411E9809" w14:textId="77777777" w:rsidR="009765F4" w:rsidRPr="007670BF" w:rsidRDefault="009765F4" w:rsidP="009765F4"/>
    <w:p w14:paraId="21A4A382" w14:textId="77777777" w:rsidR="003356BA" w:rsidRDefault="003356BA" w:rsidP="001533D4">
      <w:pPr>
        <w:spacing w:after="0" w:line="480" w:lineRule="auto"/>
        <w:jc w:val="both"/>
      </w:pPr>
    </w:p>
    <w:p w14:paraId="51CE6A79" w14:textId="77777777" w:rsidR="003356BA" w:rsidRDefault="003356BA" w:rsidP="001533D4">
      <w:pPr>
        <w:spacing w:after="0" w:line="480" w:lineRule="auto"/>
        <w:jc w:val="both"/>
      </w:pPr>
    </w:p>
    <w:p w14:paraId="462F73B1" w14:textId="77777777" w:rsidR="003356BA" w:rsidRDefault="003356BA" w:rsidP="001533D4">
      <w:pPr>
        <w:spacing w:after="0" w:line="480" w:lineRule="auto"/>
        <w:jc w:val="both"/>
      </w:pPr>
    </w:p>
    <w:p w14:paraId="5809EF3D" w14:textId="77777777" w:rsidR="003356BA" w:rsidRPr="003356BA" w:rsidRDefault="003356BA" w:rsidP="001533D4">
      <w:pPr>
        <w:spacing w:after="0" w:line="480" w:lineRule="auto"/>
        <w:jc w:val="both"/>
        <w:rPr>
          <w:b/>
        </w:rPr>
      </w:pPr>
      <w:r w:rsidRPr="003356BA">
        <w:rPr>
          <w:b/>
        </w:rPr>
        <w:lastRenderedPageBreak/>
        <w:t>Abstract</w:t>
      </w:r>
    </w:p>
    <w:p w14:paraId="7FD7B24F" w14:textId="5E55A253" w:rsidR="003356BA" w:rsidRDefault="003356BA" w:rsidP="001533D4">
      <w:pPr>
        <w:spacing w:after="0" w:line="480" w:lineRule="auto"/>
        <w:jc w:val="both"/>
      </w:pPr>
      <w:r>
        <w:t xml:space="preserve">Academic geriatric medicine activity lags behind the scale of clinical activity in the specialty. A meeting of UK academic geriatricians was convened in March 2018 to consider causes and solutions to this problem. The meeting highlighted a lack of research-active clinicians, a perception that research is not central to the practice of geriatric medicine, and a failure to translate discovery science to clinical studies. Solutions proposed included better support for early-career clinical researchers, schemes to encourage non-University clinicians to be research active, wider collaboration with organ specialists to broaden the funding envelope, and the need to co-produce research programmes with end-users. Solutions to grow academic geriatric medicine are essential if we are to provide the best care for the growing older population. </w:t>
      </w:r>
    </w:p>
    <w:p w14:paraId="108FC627" w14:textId="77777777" w:rsidR="003356BA" w:rsidRDefault="003356BA" w:rsidP="001533D4">
      <w:pPr>
        <w:spacing w:after="0" w:line="480" w:lineRule="auto"/>
        <w:jc w:val="both"/>
      </w:pPr>
    </w:p>
    <w:p w14:paraId="7F574885" w14:textId="77777777" w:rsidR="003356BA" w:rsidRDefault="003356BA">
      <w:r>
        <w:br w:type="page"/>
      </w:r>
    </w:p>
    <w:p w14:paraId="6B21400B" w14:textId="3D123A67" w:rsidR="00EB79BC" w:rsidRDefault="00EB79BC" w:rsidP="001533D4">
      <w:pPr>
        <w:spacing w:after="0" w:line="480" w:lineRule="auto"/>
        <w:jc w:val="both"/>
      </w:pPr>
      <w:r>
        <w:lastRenderedPageBreak/>
        <w:t xml:space="preserve">Caring for older people is now the predominant activity of health systems in high-income countries, and </w:t>
      </w:r>
      <w:r w:rsidR="00B91282">
        <w:t xml:space="preserve">will soon become the predominant activity in </w:t>
      </w:r>
      <w:r>
        <w:t xml:space="preserve">many lower and middle income countries </w:t>
      </w:r>
      <w:r w:rsidRPr="00946C04">
        <w:t>[</w:t>
      </w:r>
      <w:r w:rsidR="00946C04" w:rsidRPr="006C74FA">
        <w:t>1</w:t>
      </w:r>
      <w:r w:rsidRPr="00946C04">
        <w:t xml:space="preserve">]. </w:t>
      </w:r>
      <w:r>
        <w:t>At present there is a mismatch between the scale of healthcare need</w:t>
      </w:r>
      <w:r w:rsidR="00323BEA">
        <w:t xml:space="preserve"> for older people</w:t>
      </w:r>
      <w:r>
        <w:t xml:space="preserve">, and the </w:t>
      </w:r>
      <w:r w:rsidR="0076596F">
        <w:t xml:space="preserve">relatively modest </w:t>
      </w:r>
      <w:r>
        <w:t>amount of research funding</w:t>
      </w:r>
      <w:r w:rsidR="00832B13">
        <w:t xml:space="preserve"> and activity in this area</w:t>
      </w:r>
      <w:r w:rsidR="00383BF5">
        <w:t xml:space="preserve"> which is holding back much</w:t>
      </w:r>
      <w:r w:rsidR="00906A6A">
        <w:t>-</w:t>
      </w:r>
      <w:r w:rsidR="00383BF5">
        <w:t>needed innovation</w:t>
      </w:r>
      <w:r w:rsidR="00A62244">
        <w:t>. A</w:t>
      </w:r>
      <w:r w:rsidR="007368CB">
        <w:t xml:space="preserve"> number of initiatives ha</w:t>
      </w:r>
      <w:r w:rsidR="00A62244">
        <w:t>ve aimed to redress the balance - i</w:t>
      </w:r>
      <w:r w:rsidR="007368CB">
        <w:t>n Europe</w:t>
      </w:r>
      <w:r w:rsidR="00A62244">
        <w:t xml:space="preserve"> for example</w:t>
      </w:r>
      <w:r w:rsidR="007368CB">
        <w:t xml:space="preserve"> the Increasing Participation of the Elderly in Clinical Trials (PREDICT) consortium studied </w:t>
      </w:r>
      <w:r w:rsidR="007368CB" w:rsidRPr="007368CB">
        <w:t xml:space="preserve">the participation of </w:t>
      </w:r>
      <w:r w:rsidR="001D1047">
        <w:t>older</w:t>
      </w:r>
      <w:r w:rsidR="007368CB" w:rsidRPr="007368CB">
        <w:t xml:space="preserve"> people in clinical trials and propos</w:t>
      </w:r>
      <w:r w:rsidR="007368CB">
        <w:t xml:space="preserve">ed </w:t>
      </w:r>
      <w:r w:rsidR="007368CB" w:rsidRPr="007368CB">
        <w:t>ways of boosting recruitment</w:t>
      </w:r>
      <w:r w:rsidR="00906A6A">
        <w:t xml:space="preserve"> [2]</w:t>
      </w:r>
      <w:r w:rsidR="0055105A" w:rsidRPr="001B19C9">
        <w:t xml:space="preserve">. </w:t>
      </w:r>
      <w:r w:rsidR="007C445D" w:rsidRPr="001B19C9">
        <w:t xml:space="preserve">In </w:t>
      </w:r>
      <w:r w:rsidR="00663E8F" w:rsidRPr="001B19C9">
        <w:t xml:space="preserve">the UK in </w:t>
      </w:r>
      <w:r w:rsidR="007C445D" w:rsidRPr="001B19C9">
        <w:t>2</w:t>
      </w:r>
      <w:r w:rsidR="007C445D">
        <w:t>017-18</w:t>
      </w:r>
      <w:r w:rsidR="00663E8F">
        <w:t>,</w:t>
      </w:r>
      <w:r w:rsidR="007C445D">
        <w:t xml:space="preserve"> over 22,000 older p</w:t>
      </w:r>
      <w:r w:rsidR="00A01D27">
        <w:t>eople were recruited to studies</w:t>
      </w:r>
      <w:r w:rsidR="00DF4330">
        <w:t xml:space="preserve"> on the </w:t>
      </w:r>
      <w:r w:rsidR="00DF4330" w:rsidRPr="00DF4330">
        <w:t>National Institute of Health Research (NIHR) Clinical Research Network</w:t>
      </w:r>
      <w:r w:rsidR="00DF4330">
        <w:t xml:space="preserve"> portfolio</w:t>
      </w:r>
      <w:r w:rsidR="00A01D27">
        <w:t xml:space="preserve">, </w:t>
      </w:r>
      <w:r w:rsidR="007C445D">
        <w:t xml:space="preserve">but only 7,000 were recruited to studies primarily </w:t>
      </w:r>
      <w:r w:rsidR="001533D4">
        <w:t xml:space="preserve">categorised </w:t>
      </w:r>
      <w:r w:rsidR="00A01D27">
        <w:t>under</w:t>
      </w:r>
      <w:r w:rsidR="001533D4">
        <w:t xml:space="preserve"> Ageing</w:t>
      </w:r>
      <w:r w:rsidR="001B19C9">
        <w:t>;</w:t>
      </w:r>
      <w:r w:rsidR="00B12E44">
        <w:t xml:space="preserve"> </w:t>
      </w:r>
      <w:r w:rsidR="006E459E">
        <w:t>t</w:t>
      </w:r>
      <w:r w:rsidR="00832B13">
        <w:t xml:space="preserve">he number of clinical studies </w:t>
      </w:r>
      <w:r w:rsidR="00B661BC">
        <w:t xml:space="preserve">primarily </w:t>
      </w:r>
      <w:r w:rsidR="00663E8F">
        <w:t xml:space="preserve">categorised </w:t>
      </w:r>
      <w:r w:rsidR="00122914">
        <w:t>under</w:t>
      </w:r>
      <w:r w:rsidR="00832B13">
        <w:t xml:space="preserve"> </w:t>
      </w:r>
      <w:r w:rsidR="00B661BC">
        <w:t>Ageing</w:t>
      </w:r>
      <w:r w:rsidR="00832B13">
        <w:t xml:space="preserve"> on the NIHR </w:t>
      </w:r>
      <w:r w:rsidR="00832B13" w:rsidRPr="00A135AE">
        <w:t>portfolio</w:t>
      </w:r>
      <w:r w:rsidR="00663E8F" w:rsidRPr="00A135AE">
        <w:t xml:space="preserve"> [3]</w:t>
      </w:r>
      <w:r w:rsidR="00832B13" w:rsidRPr="006E2B3A">
        <w:t xml:space="preserve"> is </w:t>
      </w:r>
      <w:r w:rsidR="00343A99" w:rsidRPr="006E2B3A">
        <w:t>29%</w:t>
      </w:r>
      <w:r w:rsidR="007B4263">
        <w:t xml:space="preserve"> and 16%</w:t>
      </w:r>
      <w:r w:rsidR="00A135AE" w:rsidRPr="006E2B3A">
        <w:t xml:space="preserve"> </w:t>
      </w:r>
      <w:r w:rsidR="006755E6">
        <w:t>of the number for respiratory medicine</w:t>
      </w:r>
      <w:r w:rsidR="007B4263">
        <w:t xml:space="preserve"> and cardiovascular medicine respectively.</w:t>
      </w:r>
    </w:p>
    <w:p w14:paraId="75A2DC4E" w14:textId="77777777" w:rsidR="00205A47" w:rsidRDefault="00205A47" w:rsidP="00205A47">
      <w:pPr>
        <w:spacing w:after="0" w:line="480" w:lineRule="auto"/>
        <w:jc w:val="both"/>
      </w:pPr>
    </w:p>
    <w:p w14:paraId="03EA9559" w14:textId="2EB28D11" w:rsidR="00832B13" w:rsidRDefault="001B0AC4" w:rsidP="00205A47">
      <w:pPr>
        <w:spacing w:after="0" w:line="480" w:lineRule="auto"/>
        <w:jc w:val="both"/>
      </w:pPr>
      <w:r w:rsidRPr="0055105A">
        <w:t>Why might this be, and what can we do about</w:t>
      </w:r>
      <w:r>
        <w:t xml:space="preserve"> it? These questions were considered by a group of </w:t>
      </w:r>
      <w:r w:rsidR="00331E14">
        <w:t xml:space="preserve">UK </w:t>
      </w:r>
      <w:r w:rsidR="00A01D27">
        <w:t>research-active</w:t>
      </w:r>
      <w:r>
        <w:t xml:space="preserve"> geriatricians in March 2018, gathered under the auspices of the NIHR </w:t>
      </w:r>
      <w:r w:rsidR="00A31EDB">
        <w:t xml:space="preserve">Newcastle </w:t>
      </w:r>
      <w:r>
        <w:t>Biomedical Research Centre, UK</w:t>
      </w:r>
      <w:r w:rsidR="00AC0940">
        <w:t xml:space="preserve"> -</w:t>
      </w:r>
      <w:r w:rsidR="00A31EDB">
        <w:t xml:space="preserve"> which has a particular focus on ageing and long-term conditions</w:t>
      </w:r>
      <w:r>
        <w:t xml:space="preserve">. </w:t>
      </w:r>
      <w:r w:rsidR="0046713D">
        <w:t>Invited s</w:t>
      </w:r>
      <w:r>
        <w:t>enior investigators, trainees and PhD candidates met for an intensive one-day meeting, and this commentary describes some potential solutions generated by the group.</w:t>
      </w:r>
    </w:p>
    <w:p w14:paraId="5970384B" w14:textId="77777777" w:rsidR="00205A47" w:rsidRDefault="00205A47" w:rsidP="00205A47">
      <w:pPr>
        <w:spacing w:after="0" w:line="480" w:lineRule="auto"/>
        <w:jc w:val="both"/>
        <w:rPr>
          <w:i/>
        </w:rPr>
      </w:pPr>
    </w:p>
    <w:p w14:paraId="412C8198" w14:textId="77777777" w:rsidR="0096701C" w:rsidRPr="001B0AC4" w:rsidRDefault="001B0AC4" w:rsidP="00205A47">
      <w:pPr>
        <w:spacing w:after="0" w:line="480" w:lineRule="auto"/>
        <w:jc w:val="both"/>
        <w:rPr>
          <w:i/>
        </w:rPr>
      </w:pPr>
      <w:r w:rsidRPr="001B0AC4">
        <w:rPr>
          <w:i/>
        </w:rPr>
        <w:t>What are the problems?</w:t>
      </w:r>
    </w:p>
    <w:p w14:paraId="05152E25" w14:textId="2811D322" w:rsidR="008A3CE2" w:rsidRDefault="00205A47" w:rsidP="00205A47">
      <w:pPr>
        <w:spacing w:after="0" w:line="480" w:lineRule="auto"/>
        <w:jc w:val="both"/>
      </w:pPr>
      <w:r>
        <w:t xml:space="preserve">The first </w:t>
      </w:r>
      <w:r w:rsidR="008A3CE2">
        <w:t>problem</w:t>
      </w:r>
      <w:r>
        <w:t xml:space="preserve"> is one of capacity. There are few </w:t>
      </w:r>
      <w:r w:rsidR="00A01D27">
        <w:t>research-active clinicians</w:t>
      </w:r>
      <w:r w:rsidR="008A3CE2">
        <w:t xml:space="preserve"> compared to the volume of clinical activity; this shortage</w:t>
      </w:r>
      <w:r w:rsidR="00BC3BE3">
        <w:t xml:space="preserve"> is evident for academic nurses and allied healthcare professionals (AHPs)</w:t>
      </w:r>
      <w:r w:rsidR="008A3CE2">
        <w:t xml:space="preserve"> </w:t>
      </w:r>
      <w:r w:rsidR="00A31EDB">
        <w:t>in the field</w:t>
      </w:r>
      <w:r w:rsidR="00A01D27">
        <w:t xml:space="preserve"> as well as doctors. Research</w:t>
      </w:r>
      <w:r w:rsidR="008A3CE2">
        <w:t xml:space="preserve"> work </w:t>
      </w:r>
      <w:r w:rsidR="00A01D27">
        <w:t xml:space="preserve">in geriatric medicine </w:t>
      </w:r>
      <w:r w:rsidR="008A3CE2">
        <w:t xml:space="preserve">is vital for patients and society, but may not always translate into the metrics by which </w:t>
      </w:r>
      <w:r w:rsidR="00B12E44">
        <w:t>u</w:t>
      </w:r>
      <w:r w:rsidR="008A3CE2">
        <w:t>niversities value and appoint staff</w:t>
      </w:r>
      <w:r w:rsidR="00BC3BE3">
        <w:t>, such as reports in journals with a high impact factor</w:t>
      </w:r>
      <w:r w:rsidR="008A3CE2">
        <w:t xml:space="preserve">. </w:t>
      </w:r>
      <w:r w:rsidR="007B4263">
        <w:t xml:space="preserve">Lack of visibility may contribute to academically inclined trainees not perceiving </w:t>
      </w:r>
      <w:r w:rsidR="00BC3BE3" w:rsidRPr="00BC3BE3">
        <w:t xml:space="preserve">geriatric medicine </w:t>
      </w:r>
      <w:r w:rsidR="007B4263">
        <w:t>as a research-active specialty to pursue</w:t>
      </w:r>
      <w:r w:rsidR="008A3533">
        <w:t>, and consequently diverting into other specialities</w:t>
      </w:r>
      <w:r w:rsidR="007B4263">
        <w:t>.</w:t>
      </w:r>
    </w:p>
    <w:p w14:paraId="29FFA0C6" w14:textId="77777777" w:rsidR="00A16CAC" w:rsidRDefault="00A16CAC" w:rsidP="00205A47">
      <w:pPr>
        <w:spacing w:after="0" w:line="480" w:lineRule="auto"/>
        <w:jc w:val="both"/>
      </w:pPr>
    </w:p>
    <w:p w14:paraId="3D9AB5C5" w14:textId="4C721CB0" w:rsidR="00BC3BE3" w:rsidRDefault="00A16CAC" w:rsidP="00205A47">
      <w:pPr>
        <w:spacing w:after="0" w:line="480" w:lineRule="auto"/>
        <w:jc w:val="both"/>
      </w:pPr>
      <w:r w:rsidRPr="00A16CAC">
        <w:t xml:space="preserve">The </w:t>
      </w:r>
      <w:r>
        <w:t>second</w:t>
      </w:r>
      <w:r w:rsidRPr="00A16CAC">
        <w:t xml:space="preserve"> problem is one of culture. There is a perception amongst some clinicians that geriatric medicine is not a speciality that needs to do research – a view perhaps driven by the problems outlined above. Research is too often seen as distant from practice, findings are not effectively disseminated or embedded into teaching or care, and the research agenda is not always perceived to </w:t>
      </w:r>
      <w:r w:rsidR="000F162F">
        <w:t>align</w:t>
      </w:r>
      <w:r w:rsidRPr="00A16CAC">
        <w:t xml:space="preserve"> with the priorities of patients, policymakers or clinicians.</w:t>
      </w:r>
    </w:p>
    <w:p w14:paraId="225C8104" w14:textId="77777777" w:rsidR="00A16CAC" w:rsidRDefault="00A16CAC" w:rsidP="00205A47">
      <w:pPr>
        <w:spacing w:after="0" w:line="480" w:lineRule="auto"/>
        <w:jc w:val="both"/>
      </w:pPr>
    </w:p>
    <w:p w14:paraId="193CA5CE" w14:textId="6CC4D9BF" w:rsidR="00205A47" w:rsidRDefault="008A3CE2" w:rsidP="00205A47">
      <w:pPr>
        <w:spacing w:after="0" w:line="480" w:lineRule="auto"/>
        <w:jc w:val="both"/>
      </w:pPr>
      <w:r>
        <w:t xml:space="preserve">The </w:t>
      </w:r>
      <w:r w:rsidR="00A16CAC">
        <w:t>third</w:t>
      </w:r>
      <w:r>
        <w:t xml:space="preserve"> problem is a failure of translation. Much </w:t>
      </w:r>
      <w:r w:rsidR="006C74FA">
        <w:t>ageing research</w:t>
      </w:r>
      <w:r>
        <w:t xml:space="preserve"> is done in discovery science, </w:t>
      </w:r>
      <w:r w:rsidR="007B4263">
        <w:t xml:space="preserve">but </w:t>
      </w:r>
      <w:r w:rsidR="00C52D13">
        <w:t>with few clinicians directly involved</w:t>
      </w:r>
      <w:r>
        <w:t xml:space="preserve"> this work has had little impact on patient care to date. Similarly,</w:t>
      </w:r>
      <w:r w:rsidR="007B4263">
        <w:t xml:space="preserve"> at practice level,</w:t>
      </w:r>
      <w:r>
        <w:t xml:space="preserve"> geriatric medicine is constantly innovating and developing new models of service, yet little rigorous </w:t>
      </w:r>
      <w:r w:rsidR="0046713D">
        <w:t>evaluation</w:t>
      </w:r>
      <w:r>
        <w:t xml:space="preserve"> takes place.</w:t>
      </w:r>
      <w:r w:rsidR="00BC3BE3">
        <w:t xml:space="preserve"> Much of the research that is conducted </w:t>
      </w:r>
      <w:r w:rsidR="00FA1126">
        <w:t xml:space="preserve">lacks the scale or impact to </w:t>
      </w:r>
      <w:r w:rsidR="00BC3BE3">
        <w:t>influence practice.</w:t>
      </w:r>
    </w:p>
    <w:p w14:paraId="22DF278C" w14:textId="77777777" w:rsidR="00825DE6" w:rsidRDefault="00825DE6" w:rsidP="00205A47">
      <w:pPr>
        <w:spacing w:after="0" w:line="480" w:lineRule="auto"/>
        <w:jc w:val="both"/>
      </w:pPr>
    </w:p>
    <w:p w14:paraId="65FCEC37" w14:textId="77777777" w:rsidR="0096701C" w:rsidRDefault="00205A47" w:rsidP="00205A47">
      <w:pPr>
        <w:spacing w:after="0" w:line="480" w:lineRule="auto"/>
        <w:jc w:val="both"/>
      </w:pPr>
      <w:r>
        <w:t>What</w:t>
      </w:r>
      <w:r w:rsidR="00170032">
        <w:t xml:space="preserve"> then might </w:t>
      </w:r>
      <w:r>
        <w:t>the s</w:t>
      </w:r>
      <w:r w:rsidR="0096701C">
        <w:t>olutions</w:t>
      </w:r>
      <w:r w:rsidR="00170032">
        <w:t xml:space="preserve"> be</w:t>
      </w:r>
      <w:r>
        <w:t>? The meeting considered four major areas of activity, which we outline below:</w:t>
      </w:r>
    </w:p>
    <w:p w14:paraId="32FEE953" w14:textId="77777777" w:rsidR="00205A47" w:rsidRDefault="00205A47" w:rsidP="00205A47">
      <w:pPr>
        <w:spacing w:after="0" w:line="480" w:lineRule="auto"/>
        <w:jc w:val="both"/>
      </w:pPr>
    </w:p>
    <w:p w14:paraId="7849EBD7" w14:textId="77777777" w:rsidR="0096701C" w:rsidRPr="00205A47" w:rsidRDefault="0096701C" w:rsidP="00205A47">
      <w:pPr>
        <w:pStyle w:val="ListParagraph"/>
        <w:numPr>
          <w:ilvl w:val="0"/>
          <w:numId w:val="1"/>
        </w:numPr>
        <w:spacing w:after="0" w:line="480" w:lineRule="auto"/>
        <w:ind w:left="0" w:firstLine="0"/>
        <w:jc w:val="both"/>
        <w:rPr>
          <w:i/>
        </w:rPr>
      </w:pPr>
      <w:r w:rsidRPr="00205A47">
        <w:rPr>
          <w:i/>
        </w:rPr>
        <w:t>Involving clinicians in research</w:t>
      </w:r>
    </w:p>
    <w:p w14:paraId="46E99D60" w14:textId="4EDD9A50" w:rsidR="00331E14" w:rsidRDefault="00760645" w:rsidP="00D474E6">
      <w:pPr>
        <w:spacing w:after="0" w:line="480" w:lineRule="auto"/>
        <w:jc w:val="both"/>
      </w:pPr>
      <w:r>
        <w:t>C</w:t>
      </w:r>
      <w:r w:rsidR="00331E14">
        <w:t xml:space="preserve">linical research at scale requires recruitment at multiple sites, many of which may not be affiliated to </w:t>
      </w:r>
      <w:r w:rsidR="00B12E44">
        <w:t>u</w:t>
      </w:r>
      <w:r w:rsidR="009A37BF">
        <w:t>niversities</w:t>
      </w:r>
      <w:r w:rsidR="00331E14">
        <w:t xml:space="preserve">. Hence </w:t>
      </w:r>
      <w:r w:rsidR="000F162F">
        <w:t>we</w:t>
      </w:r>
      <w:r w:rsidR="00331E14">
        <w:t xml:space="preserve"> need to ensure that </w:t>
      </w:r>
      <w:r w:rsidR="00A31EDB">
        <w:t xml:space="preserve">all </w:t>
      </w:r>
      <w:r w:rsidR="00331E14">
        <w:t>clinicians can be active in research</w:t>
      </w:r>
      <w:r w:rsidR="008A3533">
        <w:t>; such an approach is also likely to facilitate implementation of findings</w:t>
      </w:r>
      <w:r w:rsidR="00DF4330">
        <w:t xml:space="preserve">. In the UK, the </w:t>
      </w:r>
      <w:r w:rsidR="00DF4330" w:rsidRPr="00A135AE">
        <w:t xml:space="preserve">NIHR </w:t>
      </w:r>
      <w:r w:rsidR="00FA1126">
        <w:t>CRN</w:t>
      </w:r>
      <w:r w:rsidR="00D474E6" w:rsidRPr="006E2B3A">
        <w:t xml:space="preserve"> Ageing </w:t>
      </w:r>
      <w:r w:rsidR="00DF4330" w:rsidRPr="006E2B3A">
        <w:t xml:space="preserve">Speciality Group </w:t>
      </w:r>
      <w:r w:rsidR="00C52D13">
        <w:t>and parallel structures in the devolved nations assist</w:t>
      </w:r>
      <w:r w:rsidR="00DF4330">
        <w:t xml:space="preserve"> this process by providing</w:t>
      </w:r>
      <w:r w:rsidR="00DF4330" w:rsidRPr="00DF4330">
        <w:t xml:space="preserve"> infrastructure support for clinical ageing research delivery</w:t>
      </w:r>
      <w:r w:rsidR="00331E14">
        <w:t>.</w:t>
      </w:r>
      <w:r w:rsidR="00B041DD">
        <w:t xml:space="preserve"> </w:t>
      </w:r>
      <w:r w:rsidR="000F162F">
        <w:t>I</w:t>
      </w:r>
      <w:r w:rsidR="004C4F25">
        <w:t xml:space="preserve">nvolvement in research </w:t>
      </w:r>
      <w:r w:rsidR="007B4263">
        <w:t>by</w:t>
      </w:r>
      <w:r w:rsidR="004C4F25">
        <w:t xml:space="preserve"> </w:t>
      </w:r>
      <w:r w:rsidR="007B4263">
        <w:t>early career staff across all professions</w:t>
      </w:r>
      <w:r w:rsidR="00B041DD">
        <w:t xml:space="preserve"> </w:t>
      </w:r>
      <w:r w:rsidR="004C4F25">
        <w:t>would develop a larger</w:t>
      </w:r>
      <w:r w:rsidR="00C52D13">
        <w:t xml:space="preserve"> </w:t>
      </w:r>
      <w:r w:rsidR="00B041DD">
        <w:t xml:space="preserve">group </w:t>
      </w:r>
      <w:r w:rsidR="00C52D13" w:rsidRPr="00C52D13">
        <w:t>representative of those delivering ca</w:t>
      </w:r>
      <w:r w:rsidR="007B4263">
        <w:t xml:space="preserve">re </w:t>
      </w:r>
      <w:r w:rsidR="004C4F25">
        <w:t>who are familiar</w:t>
      </w:r>
      <w:r w:rsidR="00B041DD">
        <w:t xml:space="preserve"> with research processes such as recruiting to clinical trials</w:t>
      </w:r>
      <w:r w:rsidR="00C52D13">
        <w:t>; a spin-off benefit would be enhanced awareness of, and skills to interpret, research evidence</w:t>
      </w:r>
      <w:r w:rsidR="00B041DD">
        <w:t xml:space="preserve">. Support networks have been successful in supporting clinicians to engage with research in some disease areas, such as </w:t>
      </w:r>
      <w:r w:rsidR="00912A41">
        <w:t xml:space="preserve">stroke, </w:t>
      </w:r>
      <w:r w:rsidR="00B041DD">
        <w:t>Parkinson</w:t>
      </w:r>
      <w:r w:rsidR="00205A47">
        <w:t>’</w:t>
      </w:r>
      <w:r w:rsidR="00B041DD">
        <w:t xml:space="preserve">s, dementia, and </w:t>
      </w:r>
      <w:r w:rsidR="00B041DD">
        <w:lastRenderedPageBreak/>
        <w:t>osteoporosis</w:t>
      </w:r>
      <w:r w:rsidR="00C52D13">
        <w:t xml:space="preserve"> – and in delivering </w:t>
      </w:r>
      <w:r w:rsidR="00B041DD">
        <w:t>focussed training for clinicians to support resear</w:t>
      </w:r>
      <w:r w:rsidR="000F162F">
        <w:t>ch activity. The challenge is to ensure</w:t>
      </w:r>
      <w:r w:rsidR="00B041DD">
        <w:t xml:space="preserve"> that a</w:t>
      </w:r>
      <w:r w:rsidR="00A31EDB">
        <w:t>geing syndromes and a</w:t>
      </w:r>
      <w:r w:rsidR="00B041DD">
        <w:t xml:space="preserve"> wider range of disease areas are represented.</w:t>
      </w:r>
    </w:p>
    <w:p w14:paraId="0B4758E6" w14:textId="77777777" w:rsidR="00205A47" w:rsidRDefault="00205A47" w:rsidP="00205A47">
      <w:pPr>
        <w:spacing w:after="0" w:line="480" w:lineRule="auto"/>
        <w:jc w:val="both"/>
      </w:pPr>
    </w:p>
    <w:p w14:paraId="4B2A2E0B" w14:textId="3B729676" w:rsidR="00B041DD" w:rsidRDefault="009A37BF" w:rsidP="00205A47">
      <w:pPr>
        <w:spacing w:after="0" w:line="480" w:lineRule="auto"/>
        <w:jc w:val="both"/>
      </w:pPr>
      <w:r>
        <w:t>F</w:t>
      </w:r>
      <w:r w:rsidR="009A08C5">
        <w:t>unding</w:t>
      </w:r>
      <w:r w:rsidR="00B041DD">
        <w:t xml:space="preserve"> </w:t>
      </w:r>
      <w:r>
        <w:t xml:space="preserve">is necessary </w:t>
      </w:r>
      <w:r w:rsidR="00B041DD">
        <w:t xml:space="preserve">either </w:t>
      </w:r>
      <w:r>
        <w:t xml:space="preserve">to </w:t>
      </w:r>
      <w:r w:rsidR="00B041DD">
        <w:t xml:space="preserve">support research time directly, or to allow cover for research time by others. Although mechanisms in the UK do exist to allow funds to ‘follow the participant’, service pressures often make it difficult to </w:t>
      </w:r>
      <w:r>
        <w:t>release</w:t>
      </w:r>
      <w:r w:rsidR="00B041DD">
        <w:t xml:space="preserve"> time even when funds allow. In healthcare systems where private practice or clinician-level billing are prevalent, funding is essential </w:t>
      </w:r>
      <w:r w:rsidR="00C52D13">
        <w:t>to make</w:t>
      </w:r>
      <w:r w:rsidR="00B041DD">
        <w:t xml:space="preserve"> research activity an attractive and viable alternative to </w:t>
      </w:r>
      <w:r w:rsidR="000F162F">
        <w:t>service delivery</w:t>
      </w:r>
      <w:r w:rsidR="00B041DD">
        <w:t xml:space="preserve">. </w:t>
      </w:r>
    </w:p>
    <w:p w14:paraId="2C354892" w14:textId="77777777" w:rsidR="00205A47" w:rsidRDefault="00205A47" w:rsidP="00205A47">
      <w:pPr>
        <w:spacing w:after="0" w:line="480" w:lineRule="auto"/>
        <w:jc w:val="both"/>
      </w:pPr>
    </w:p>
    <w:p w14:paraId="132DC416" w14:textId="77777777" w:rsidR="0096701C" w:rsidRPr="00205A47" w:rsidRDefault="00205A47" w:rsidP="00205A47">
      <w:pPr>
        <w:pStyle w:val="ListParagraph"/>
        <w:numPr>
          <w:ilvl w:val="0"/>
          <w:numId w:val="1"/>
        </w:numPr>
        <w:spacing w:after="0" w:line="480" w:lineRule="auto"/>
        <w:ind w:left="0" w:firstLine="0"/>
        <w:jc w:val="both"/>
        <w:rPr>
          <w:i/>
        </w:rPr>
      </w:pPr>
      <w:r>
        <w:rPr>
          <w:i/>
        </w:rPr>
        <w:t>Developing</w:t>
      </w:r>
      <w:r w:rsidR="004029E4" w:rsidRPr="00205A47">
        <w:rPr>
          <w:i/>
        </w:rPr>
        <w:t xml:space="preserve"> early-career researchers</w:t>
      </w:r>
    </w:p>
    <w:p w14:paraId="5DC83890" w14:textId="64B4CE34" w:rsidR="004029E4" w:rsidRDefault="004029E4" w:rsidP="00205A47">
      <w:pPr>
        <w:spacing w:after="0" w:line="480" w:lineRule="auto"/>
        <w:jc w:val="both"/>
      </w:pPr>
      <w:r>
        <w:t xml:space="preserve">The decision to specialise in geriatric medicine is made relatively late compared to some </w:t>
      </w:r>
      <w:r w:rsidRPr="00946C04">
        <w:t>specialities [</w:t>
      </w:r>
      <w:r w:rsidR="0094032C">
        <w:t>4</w:t>
      </w:r>
      <w:proofErr w:type="gramStart"/>
      <w:r w:rsidR="00946C04" w:rsidRPr="006C74FA">
        <w:t>,</w:t>
      </w:r>
      <w:r w:rsidR="0094032C">
        <w:t>5</w:t>
      </w:r>
      <w:proofErr w:type="gramEnd"/>
      <w:r w:rsidRPr="00A92DCC">
        <w:t xml:space="preserve">]. </w:t>
      </w:r>
      <w:r w:rsidR="00D61B55">
        <w:t>A</w:t>
      </w:r>
      <w:r w:rsidR="000F162F">
        <w:t>cademics focussing on</w:t>
      </w:r>
      <w:r>
        <w:t xml:space="preserve"> ageing and the care of older people are in competition with </w:t>
      </w:r>
      <w:r w:rsidR="00D61B55">
        <w:t xml:space="preserve">these </w:t>
      </w:r>
      <w:r>
        <w:t xml:space="preserve">other specialities – for fellowships, awards and for </w:t>
      </w:r>
      <w:r w:rsidR="00B12E44">
        <w:t>u</w:t>
      </w:r>
      <w:r>
        <w:t xml:space="preserve">niversity tenure. </w:t>
      </w:r>
      <w:r w:rsidR="00FA1126" w:rsidRPr="00FA1126">
        <w:t>Furthermore, they do not typically have access to the considerable funding resources of, for example, the major cardiovascular health and oncology research charities for early career support.</w:t>
      </w:r>
      <w:r w:rsidR="00FA1126">
        <w:t xml:space="preserve"> </w:t>
      </w:r>
      <w:r>
        <w:t>Any successful approach to building capacity therefore has</w:t>
      </w:r>
      <w:r w:rsidR="00A17697">
        <w:t xml:space="preserve"> to start early. T</w:t>
      </w:r>
      <w:r>
        <w:t>he pipeline of trained investigators could be st</w:t>
      </w:r>
      <w:r w:rsidR="00A17697">
        <w:t xml:space="preserve">rengthened by </w:t>
      </w:r>
      <w:r>
        <w:t>en</w:t>
      </w:r>
      <w:r w:rsidR="009A37BF">
        <w:t xml:space="preserve">hancing the </w:t>
      </w:r>
      <w:r>
        <w:t xml:space="preserve">visibility of the speciality in undergraduate medical, nursing and AHP education; </w:t>
      </w:r>
      <w:r w:rsidR="009A37BF">
        <w:t xml:space="preserve">offering </w:t>
      </w:r>
      <w:r>
        <w:t xml:space="preserve">undergraduate </w:t>
      </w:r>
      <w:r w:rsidR="00FA1126">
        <w:t xml:space="preserve">research </w:t>
      </w:r>
      <w:r>
        <w:t>project</w:t>
      </w:r>
      <w:r w:rsidR="00760645">
        <w:t xml:space="preserve">s </w:t>
      </w:r>
      <w:r>
        <w:t>relevan</w:t>
      </w:r>
      <w:r w:rsidR="00FA1126">
        <w:t>t to ageing</w:t>
      </w:r>
      <w:r>
        <w:t xml:space="preserve">, and </w:t>
      </w:r>
      <w:r w:rsidR="009A37BF">
        <w:t xml:space="preserve">providing </w:t>
      </w:r>
      <w:r>
        <w:t xml:space="preserve">research </w:t>
      </w:r>
      <w:r w:rsidR="009A37BF">
        <w:t xml:space="preserve">training </w:t>
      </w:r>
      <w:r>
        <w:t>for v</w:t>
      </w:r>
      <w:r w:rsidR="00205A47">
        <w:t xml:space="preserve">ery early-career practitioners. </w:t>
      </w:r>
      <w:r w:rsidR="00FA1126">
        <w:t xml:space="preserve">The resulting </w:t>
      </w:r>
      <w:r w:rsidR="009A37BF">
        <w:t>candidates would</w:t>
      </w:r>
      <w:r>
        <w:t xml:space="preserve"> have </w:t>
      </w:r>
      <w:r w:rsidR="000F162F">
        <w:t xml:space="preserve">better </w:t>
      </w:r>
      <w:r>
        <w:t xml:space="preserve">awareness </w:t>
      </w:r>
      <w:r w:rsidR="000F162F">
        <w:t>and experience</w:t>
      </w:r>
      <w:r>
        <w:t xml:space="preserve">, and </w:t>
      </w:r>
      <w:r w:rsidR="009A37BF">
        <w:t>be</w:t>
      </w:r>
      <w:r>
        <w:t xml:space="preserve"> competitive for higher research training at PhD level. </w:t>
      </w:r>
      <w:r w:rsidR="00055157">
        <w:t>E</w:t>
      </w:r>
      <w:r>
        <w:t xml:space="preserve">xpanding the numbers of PhD posts relevant to translational ageing research is </w:t>
      </w:r>
      <w:r w:rsidR="009A37BF">
        <w:t xml:space="preserve">necessary, but is </w:t>
      </w:r>
      <w:r>
        <w:t>unli</w:t>
      </w:r>
      <w:r w:rsidR="009A37BF">
        <w:t>kely to be sufficient</w:t>
      </w:r>
      <w:r w:rsidR="0022751D">
        <w:t>.</w:t>
      </w:r>
    </w:p>
    <w:p w14:paraId="652ECB78" w14:textId="77777777" w:rsidR="00205A47" w:rsidRDefault="00205A47" w:rsidP="00205A47">
      <w:pPr>
        <w:spacing w:after="0" w:line="480" w:lineRule="auto"/>
        <w:jc w:val="both"/>
      </w:pPr>
    </w:p>
    <w:p w14:paraId="4F40AEA8" w14:textId="718F8C80" w:rsidR="0022751D" w:rsidRDefault="0022751D" w:rsidP="00205A47">
      <w:pPr>
        <w:spacing w:after="0" w:line="480" w:lineRule="auto"/>
        <w:jc w:val="both"/>
      </w:pPr>
      <w:r>
        <w:t>The transition from PhD to independent researcher remains a major challenge</w:t>
      </w:r>
      <w:r w:rsidR="009A37BF">
        <w:t xml:space="preserve"> in many </w:t>
      </w:r>
      <w:r>
        <w:t xml:space="preserve">scientific </w:t>
      </w:r>
      <w:r w:rsidRPr="0055105A">
        <w:t>disciplines [</w:t>
      </w:r>
      <w:r w:rsidR="0094032C">
        <w:t>6</w:t>
      </w:r>
      <w:r w:rsidRPr="006C74FA">
        <w:t>]</w:t>
      </w:r>
      <w:r w:rsidR="00A62244">
        <w:t>. G</w:t>
      </w:r>
      <w:r w:rsidR="00750909">
        <w:t>ood mentorship</w:t>
      </w:r>
      <w:r w:rsidR="00A62244">
        <w:t xml:space="preserve"> for academics at this</w:t>
      </w:r>
      <w:r w:rsidR="00750909">
        <w:t xml:space="preserve"> career</w:t>
      </w:r>
      <w:r w:rsidR="00A62244">
        <w:t xml:space="preserve"> stage</w:t>
      </w:r>
      <w:r w:rsidR="00750909">
        <w:t xml:space="preserve"> is critical to drive successful intermediate fellowship bids</w:t>
      </w:r>
      <w:r w:rsidR="00DC57FA">
        <w:t>; models</w:t>
      </w:r>
      <w:r w:rsidR="00B6657C">
        <w:t xml:space="preserve"> such as the establishment of an </w:t>
      </w:r>
      <w:r w:rsidR="00DC57FA">
        <w:t>Ageing Academy</w:t>
      </w:r>
      <w:r w:rsidR="00B6657C">
        <w:t xml:space="preserve"> or School for Ageing Research</w:t>
      </w:r>
      <w:r w:rsidR="00DC57FA">
        <w:t xml:space="preserve"> may be required to deliver this support</w:t>
      </w:r>
      <w:r w:rsidR="00760645">
        <w:t>. R</w:t>
      </w:r>
      <w:r w:rsidR="00750909">
        <w:t xml:space="preserve">epresentation of geriatric medicine on </w:t>
      </w:r>
      <w:r w:rsidR="00750909">
        <w:lastRenderedPageBreak/>
        <w:t>sel</w:t>
      </w:r>
      <w:r w:rsidR="009A37BF">
        <w:t>ection panels is also necessary</w:t>
      </w:r>
      <w:r w:rsidR="00750909">
        <w:t xml:space="preserve"> </w:t>
      </w:r>
      <w:r w:rsidR="00760645">
        <w:t>to provide</w:t>
      </w:r>
      <w:r w:rsidR="00750909">
        <w:t xml:space="preserve"> relevant expertise </w:t>
      </w:r>
      <w:r w:rsidR="00D61B55">
        <w:t>for</w:t>
      </w:r>
      <w:r w:rsidR="00750909">
        <w:t xml:space="preserve"> </w:t>
      </w:r>
      <w:r w:rsidR="00760645">
        <w:t xml:space="preserve">funding </w:t>
      </w:r>
      <w:r w:rsidR="00FA1126">
        <w:t>decisions</w:t>
      </w:r>
      <w:r w:rsidR="00FA1126" w:rsidRPr="00FA1126">
        <w:t>, taking into account the often highly complex mechanisms and pathways involved in ageing biology and common geriatric syndromes.</w:t>
      </w:r>
    </w:p>
    <w:p w14:paraId="7F794ABA" w14:textId="77777777" w:rsidR="00205A47" w:rsidRDefault="00205A47" w:rsidP="00205A47">
      <w:pPr>
        <w:spacing w:after="0" w:line="480" w:lineRule="auto"/>
        <w:jc w:val="both"/>
      </w:pPr>
    </w:p>
    <w:p w14:paraId="6B34D0C2" w14:textId="77777777" w:rsidR="0096701C" w:rsidRPr="00205A47" w:rsidRDefault="0096701C" w:rsidP="00205A47">
      <w:pPr>
        <w:pStyle w:val="ListParagraph"/>
        <w:numPr>
          <w:ilvl w:val="0"/>
          <w:numId w:val="1"/>
        </w:numPr>
        <w:spacing w:after="0" w:line="480" w:lineRule="auto"/>
        <w:ind w:left="0" w:firstLine="0"/>
        <w:jc w:val="both"/>
        <w:rPr>
          <w:i/>
        </w:rPr>
      </w:pPr>
      <w:r w:rsidRPr="00205A47">
        <w:rPr>
          <w:i/>
        </w:rPr>
        <w:t>Getting research into clinical practice</w:t>
      </w:r>
    </w:p>
    <w:p w14:paraId="643980CF" w14:textId="04C63378" w:rsidR="00401F17" w:rsidRDefault="009040AC" w:rsidP="0096602D">
      <w:pPr>
        <w:spacing w:after="0" w:line="480" w:lineRule="auto"/>
        <w:jc w:val="both"/>
      </w:pPr>
      <w:r>
        <w:t>B</w:t>
      </w:r>
      <w:r w:rsidR="00841413">
        <w:t>ridging the ‘know-do’ gap [7</w:t>
      </w:r>
      <w:proofErr w:type="gramStart"/>
      <w:r w:rsidR="00841413">
        <w:t>,8</w:t>
      </w:r>
      <w:proofErr w:type="gramEnd"/>
      <w:r w:rsidRPr="009040AC">
        <w:t>]</w:t>
      </w:r>
      <w:r>
        <w:t xml:space="preserve"> is essential if research</w:t>
      </w:r>
      <w:r w:rsidR="00E8198B">
        <w:t xml:space="preserve"> benefits are to reach patients. Choosing </w:t>
      </w:r>
      <w:r w:rsidR="0096602D" w:rsidRPr="00A135AE">
        <w:t>appropriate research</w:t>
      </w:r>
      <w:r w:rsidR="00E8198B" w:rsidRPr="00A135AE">
        <w:t xml:space="preserve"> ques</w:t>
      </w:r>
      <w:r w:rsidR="00E8198B" w:rsidRPr="006E2B3A">
        <w:t>tions is important</w:t>
      </w:r>
      <w:r w:rsidR="00E8198B">
        <w:t xml:space="preserve">, and </w:t>
      </w:r>
      <w:r w:rsidR="00E8198B" w:rsidRPr="00E8198B">
        <w:t>the James Lind Alliance on priority-setting for research</w:t>
      </w:r>
      <w:r w:rsidR="00E8198B">
        <w:t xml:space="preserve"> is an excellent model for this</w:t>
      </w:r>
      <w:r w:rsidR="00841413">
        <w:t xml:space="preserve"> [9</w:t>
      </w:r>
      <w:r w:rsidR="00E8198B">
        <w:t xml:space="preserve">]; the alliance has recently published the top ten priorities for research for people with multiple conditions </w:t>
      </w:r>
      <w:r w:rsidR="00841413">
        <w:t>[10</w:t>
      </w:r>
      <w:r w:rsidR="00E8198B" w:rsidRPr="00E8198B">
        <w:t>].</w:t>
      </w:r>
      <w:r w:rsidR="00E8198B">
        <w:t xml:space="preserve"> Co-production of research </w:t>
      </w:r>
      <w:r w:rsidR="00766FC6">
        <w:t>by</w:t>
      </w:r>
      <w:r w:rsidR="00E8198B">
        <w:t xml:space="preserve"> knowledge users and research teams helps to ensure that the results will be relevant to both clinicians and patients. </w:t>
      </w:r>
      <w:r w:rsidR="00E00206">
        <w:t>Embedding assessment of</w:t>
      </w:r>
      <w:r w:rsidR="00DC57FA">
        <w:t xml:space="preserve"> implementation strategies (</w:t>
      </w:r>
      <w:r w:rsidR="00E00206">
        <w:t xml:space="preserve">in particular </w:t>
      </w:r>
      <w:r w:rsidR="001D1047">
        <w:t>areas</w:t>
      </w:r>
      <w:r w:rsidR="00E00206">
        <w:t xml:space="preserve"> of implementation failure including cost, training and workflow) is another key component</w:t>
      </w:r>
      <w:r w:rsidR="00D61B55">
        <w:t>, as is the use of linked, routinely collected health and social care data to evaluate interventions in real-world populations</w:t>
      </w:r>
      <w:r w:rsidR="00E00206">
        <w:t>. Co-production</w:t>
      </w:r>
      <w:r w:rsidR="00750909" w:rsidRPr="00D60841">
        <w:t xml:space="preserve"> </w:t>
      </w:r>
      <w:r w:rsidR="005D2B33">
        <w:t xml:space="preserve">can </w:t>
      </w:r>
      <w:r w:rsidR="00750909" w:rsidRPr="00D60841">
        <w:t>also</w:t>
      </w:r>
      <w:r w:rsidR="00750909">
        <w:t xml:space="preserve"> </w:t>
      </w:r>
      <w:r w:rsidR="00E00206">
        <w:t xml:space="preserve">help with dissemination - targeting research findings to research users </w:t>
      </w:r>
      <w:r w:rsidR="00750909">
        <w:t xml:space="preserve">in ways that </w:t>
      </w:r>
      <w:r w:rsidR="00E00206">
        <w:t>they find useful</w:t>
      </w:r>
      <w:r w:rsidR="00A63B4E">
        <w:t>. R</w:t>
      </w:r>
      <w:r w:rsidR="00750909">
        <w:t xml:space="preserve">esearch users </w:t>
      </w:r>
      <w:r w:rsidR="00A63B4E">
        <w:t xml:space="preserve">need to be </w:t>
      </w:r>
      <w:r w:rsidR="00750909">
        <w:t>ready to receive and engage with research findings</w:t>
      </w:r>
      <w:r w:rsidR="00A62244">
        <w:t xml:space="preserve">; </w:t>
      </w:r>
      <w:r w:rsidR="00A63B4E">
        <w:t xml:space="preserve">this can be facilitated by </w:t>
      </w:r>
      <w:r w:rsidR="00E00206">
        <w:t xml:space="preserve">delivering research findings </w:t>
      </w:r>
      <w:r w:rsidR="00A63B4E">
        <w:t>that are both relevant and accessible</w:t>
      </w:r>
      <w:r w:rsidR="00E00206">
        <w:t xml:space="preserve"> to practitioners.</w:t>
      </w:r>
      <w:r w:rsidR="009A37BF" w:rsidRPr="009A37BF">
        <w:t xml:space="preserve"> In the UK the applied healthcare research programmes of several regional NIHR Collaborations for Leadership in Applied Health Research and Care (CLAHRC</w:t>
      </w:r>
      <w:r w:rsidR="00DC57FA">
        <w:t>s</w:t>
      </w:r>
      <w:r w:rsidR="009A37BF" w:rsidRPr="009A37BF">
        <w:t>) seek to address this translational gap.</w:t>
      </w:r>
    </w:p>
    <w:p w14:paraId="2B58273E" w14:textId="77777777" w:rsidR="00205A47" w:rsidRDefault="00205A47" w:rsidP="00205A47">
      <w:pPr>
        <w:spacing w:after="0" w:line="480" w:lineRule="auto"/>
        <w:jc w:val="both"/>
      </w:pPr>
    </w:p>
    <w:p w14:paraId="6FE62E2B" w14:textId="77777777" w:rsidR="0096701C" w:rsidRPr="00205A47" w:rsidRDefault="0096701C" w:rsidP="00205A47">
      <w:pPr>
        <w:pStyle w:val="ListParagraph"/>
        <w:numPr>
          <w:ilvl w:val="0"/>
          <w:numId w:val="1"/>
        </w:numPr>
        <w:spacing w:after="0" w:line="480" w:lineRule="auto"/>
        <w:ind w:left="0" w:firstLine="0"/>
        <w:jc w:val="both"/>
        <w:rPr>
          <w:i/>
        </w:rPr>
      </w:pPr>
      <w:r w:rsidRPr="00205A47">
        <w:rPr>
          <w:i/>
        </w:rPr>
        <w:t>Expanding the funding envelope</w:t>
      </w:r>
    </w:p>
    <w:p w14:paraId="698D10C8" w14:textId="1D6FCCA6" w:rsidR="000B4770" w:rsidRDefault="00A62244" w:rsidP="00205A47">
      <w:pPr>
        <w:spacing w:after="0" w:line="480" w:lineRule="auto"/>
        <w:jc w:val="both"/>
      </w:pPr>
      <w:r>
        <w:t>There is</w:t>
      </w:r>
      <w:r w:rsidR="00734793">
        <w:t xml:space="preserve"> growing </w:t>
      </w:r>
      <w:r w:rsidR="00F675AE">
        <w:t>awareness of</w:t>
      </w:r>
      <w:r w:rsidR="00734793">
        <w:t xml:space="preserve"> the importance of ageing and c</w:t>
      </w:r>
      <w:r w:rsidR="00766FC6">
        <w:t xml:space="preserve">are of older people by funders. </w:t>
      </w:r>
      <w:r w:rsidR="0007475D">
        <w:t xml:space="preserve">European Union funding streams </w:t>
      </w:r>
      <w:r w:rsidR="00CB1A75">
        <w:t>have included a substantial component of research which is directly relevant for older people. Within</w:t>
      </w:r>
      <w:r w:rsidR="00F675AE">
        <w:t xml:space="preserve"> </w:t>
      </w:r>
      <w:r w:rsidR="00A3218D">
        <w:t>the UK</w:t>
      </w:r>
      <w:r w:rsidR="00D14D28">
        <w:t>,</w:t>
      </w:r>
      <w:r w:rsidR="00A3218D">
        <w:t xml:space="preserve"> </w:t>
      </w:r>
      <w:r w:rsidR="00C3147D">
        <w:t xml:space="preserve">the </w:t>
      </w:r>
      <w:r w:rsidR="00766FC6">
        <w:t xml:space="preserve">recent </w:t>
      </w:r>
      <w:r w:rsidR="00C3147D">
        <w:t>Aca</w:t>
      </w:r>
      <w:r w:rsidR="00766FC6">
        <w:t xml:space="preserve">demy of Medical Sciences </w:t>
      </w:r>
      <w:r w:rsidR="00C3147D">
        <w:t>report on multimorbidity [11] presages increased interest from a ra</w:t>
      </w:r>
      <w:r w:rsidR="00766FC6">
        <w:t xml:space="preserve">nge of funders in this </w:t>
      </w:r>
      <w:r w:rsidR="00C3147D">
        <w:t>area</w:t>
      </w:r>
      <w:r w:rsidR="00A3218D">
        <w:t xml:space="preserve">. </w:t>
      </w:r>
      <w:r w:rsidR="00D1640E">
        <w:t xml:space="preserve">In his 2017 </w:t>
      </w:r>
      <w:proofErr w:type="spellStart"/>
      <w:r w:rsidR="00D1640E">
        <w:t>Harveian</w:t>
      </w:r>
      <w:proofErr w:type="spellEnd"/>
      <w:r w:rsidR="00D1640E">
        <w:t xml:space="preserve"> Oration [</w:t>
      </w:r>
      <w:r w:rsidR="00C3147D">
        <w:t>12</w:t>
      </w:r>
      <w:r w:rsidR="00D1640E">
        <w:t xml:space="preserve">], </w:t>
      </w:r>
      <w:r w:rsidR="00F675AE">
        <w:t xml:space="preserve">Professor Chris </w:t>
      </w:r>
      <w:r w:rsidR="00F675AE" w:rsidRPr="006C74FA">
        <w:t xml:space="preserve">Whitty, </w:t>
      </w:r>
      <w:r w:rsidR="00A3218D" w:rsidRPr="006C74FA">
        <w:t xml:space="preserve">Head of NIHR and </w:t>
      </w:r>
      <w:r w:rsidR="00F675AE" w:rsidRPr="006C74FA">
        <w:t xml:space="preserve">Chief Scientific Advisor for the </w:t>
      </w:r>
      <w:r w:rsidR="00CB1A75">
        <w:t xml:space="preserve">UK </w:t>
      </w:r>
      <w:r w:rsidR="00F675AE" w:rsidRPr="006C74FA">
        <w:t>Depa</w:t>
      </w:r>
      <w:r w:rsidR="00A3218D" w:rsidRPr="006C74FA">
        <w:t xml:space="preserve">rtment of Health and </w:t>
      </w:r>
      <w:r w:rsidR="00A3218D" w:rsidRPr="006C74FA">
        <w:lastRenderedPageBreak/>
        <w:t>Social Care</w:t>
      </w:r>
      <w:r w:rsidR="00766FC6">
        <w:t>,</w:t>
      </w:r>
      <w:r w:rsidR="00A3218D" w:rsidRPr="006C74FA">
        <w:t xml:space="preserve"> </w:t>
      </w:r>
      <w:r w:rsidR="00F675AE" w:rsidRPr="006C74FA">
        <w:t>spoke of</w:t>
      </w:r>
      <w:r w:rsidR="005952DE" w:rsidRPr="006C74FA">
        <w:t xml:space="preserve"> the </w:t>
      </w:r>
      <w:r w:rsidR="00D1640E" w:rsidRPr="006C74FA">
        <w:t xml:space="preserve">urgent need to focus on the health of older people, particularly those with multiple conditions, and of the need to drastically increase the capacity of the research community to tackle the health problems of old age. </w:t>
      </w:r>
      <w:r w:rsidR="00734793" w:rsidRPr="006C74FA">
        <w:t>If these funding</w:t>
      </w:r>
      <w:r w:rsidR="00734793">
        <w:t xml:space="preserve"> streams are to fully benefit older people,</w:t>
      </w:r>
      <w:r w:rsidR="000B4770">
        <w:t xml:space="preserve"> </w:t>
      </w:r>
      <w:r w:rsidR="00A3218D">
        <w:t>academic geriatricians</w:t>
      </w:r>
      <w:r w:rsidR="000B4770">
        <w:t xml:space="preserve"> need to </w:t>
      </w:r>
      <w:r w:rsidR="00597821">
        <w:t>drive</w:t>
      </w:r>
      <w:r w:rsidR="00A3218D">
        <w:t xml:space="preserve"> multidisciplinary, multicentre bids to address </w:t>
      </w:r>
      <w:r w:rsidR="00DC57FA">
        <w:t>key</w:t>
      </w:r>
      <w:r w:rsidR="00A3218D">
        <w:t xml:space="preserve"> </w:t>
      </w:r>
      <w:r w:rsidR="000B4770">
        <w:t>resear</w:t>
      </w:r>
      <w:r w:rsidR="00E00206">
        <w:t>ch question</w:t>
      </w:r>
      <w:r w:rsidR="00D14D28">
        <w:t xml:space="preserve">s at scale and pace, as well as </w:t>
      </w:r>
      <w:r w:rsidR="00DC57FA">
        <w:t xml:space="preserve">providing representation </w:t>
      </w:r>
      <w:r w:rsidR="00D14D28">
        <w:t>on the</w:t>
      </w:r>
      <w:r w:rsidR="00E00206">
        <w:t xml:space="preserve"> </w:t>
      </w:r>
      <w:r w:rsidR="000B4770">
        <w:t xml:space="preserve">funding panels </w:t>
      </w:r>
      <w:r w:rsidR="00D14D28">
        <w:t>that consider such bids.</w:t>
      </w:r>
    </w:p>
    <w:p w14:paraId="4C85101D" w14:textId="77777777" w:rsidR="000B4770" w:rsidRDefault="000B4770" w:rsidP="00205A47">
      <w:pPr>
        <w:spacing w:after="0" w:line="480" w:lineRule="auto"/>
        <w:jc w:val="both"/>
      </w:pPr>
    </w:p>
    <w:p w14:paraId="6C860DBF" w14:textId="13F5FC33" w:rsidR="0096701C" w:rsidRDefault="00734793" w:rsidP="00205A47">
      <w:pPr>
        <w:spacing w:after="0" w:line="480" w:lineRule="auto"/>
        <w:jc w:val="both"/>
      </w:pPr>
      <w:r>
        <w:t xml:space="preserve">There is </w:t>
      </w:r>
      <w:r w:rsidR="000B4770">
        <w:t xml:space="preserve">also </w:t>
      </w:r>
      <w:r w:rsidR="00A62244">
        <w:t>scope to widen</w:t>
      </w:r>
      <w:r>
        <w:t xml:space="preserve"> </w:t>
      </w:r>
      <w:r w:rsidR="00A62244">
        <w:t>our funding sources</w:t>
      </w:r>
      <w:r w:rsidR="00023306">
        <w:t>. I</w:t>
      </w:r>
      <w:r>
        <w:t>n the UK, individual philanthropy is relatively under-used compared to the USA, and industry is not c</w:t>
      </w:r>
      <w:r w:rsidR="00766FC6">
        <w:t xml:space="preserve">urrently a major </w:t>
      </w:r>
      <w:r w:rsidR="00597821">
        <w:t>funding source</w:t>
      </w:r>
      <w:r>
        <w:t xml:space="preserve"> – although care is needed </w:t>
      </w:r>
      <w:r w:rsidR="00B62D9E">
        <w:t xml:space="preserve">to ensure high-quality science and to avoid </w:t>
      </w:r>
      <w:r>
        <w:t xml:space="preserve">conflicts of interest and intellectual property. </w:t>
      </w:r>
      <w:r w:rsidR="00023306">
        <w:t>A</w:t>
      </w:r>
      <w:r>
        <w:t>s instinctive collaborators</w:t>
      </w:r>
      <w:r w:rsidR="000B4770">
        <w:t xml:space="preserve"> used to working in multidisciplinary clinical teams</w:t>
      </w:r>
      <w:r>
        <w:t xml:space="preserve">, geriatricians are well placed to exploit the current interest in interdisciplinary funding, as well as working with other specialists in accessing funding from organ-specific charities.  </w:t>
      </w:r>
      <w:r w:rsidR="0055105A" w:rsidRPr="0055105A">
        <w:t>In the US the</w:t>
      </w:r>
      <w:r w:rsidR="00A62244">
        <w:t>re is</w:t>
      </w:r>
      <w:r w:rsidR="0055105A" w:rsidRPr="0055105A">
        <w:t xml:space="preserve"> a dedicated National I</w:t>
      </w:r>
      <w:r w:rsidR="0055105A">
        <w:t xml:space="preserve">nstitute on Aging (NIA). </w:t>
      </w:r>
      <w:r w:rsidR="00CB1A75">
        <w:t>O</w:t>
      </w:r>
      <w:r w:rsidR="0055105A">
        <w:t xml:space="preserve">pportunities exist for </w:t>
      </w:r>
      <w:r w:rsidR="0060215F">
        <w:t>international</w:t>
      </w:r>
      <w:r w:rsidR="0055105A">
        <w:t xml:space="preserve"> collaborative work accessing NIA funds via partnering with US colleagues</w:t>
      </w:r>
      <w:r w:rsidR="00912A41">
        <w:t xml:space="preserve">, even with current </w:t>
      </w:r>
      <w:r w:rsidR="00912A41" w:rsidRPr="00912A41">
        <w:t>budgetary pressures</w:t>
      </w:r>
      <w:r w:rsidR="00C3147D">
        <w:t xml:space="preserve"> [13</w:t>
      </w:r>
      <w:r w:rsidR="0094032C">
        <w:t>]</w:t>
      </w:r>
    </w:p>
    <w:p w14:paraId="63AF6229" w14:textId="77777777" w:rsidR="006C74FA" w:rsidRDefault="006C74FA" w:rsidP="00205A47">
      <w:pPr>
        <w:spacing w:after="0" w:line="480" w:lineRule="auto"/>
        <w:jc w:val="both"/>
      </w:pPr>
    </w:p>
    <w:p w14:paraId="6D5E1DFE" w14:textId="259A83BD" w:rsidR="00332488" w:rsidRDefault="005D2B33" w:rsidP="00205A47">
      <w:pPr>
        <w:spacing w:after="0" w:line="480" w:lineRule="auto"/>
        <w:jc w:val="both"/>
      </w:pPr>
      <w:r>
        <w:t xml:space="preserve">In summary, </w:t>
      </w:r>
      <w:r w:rsidR="002953CE">
        <w:t>g</w:t>
      </w:r>
      <w:r w:rsidR="00D837EF">
        <w:t xml:space="preserve">rowing </w:t>
      </w:r>
      <w:r w:rsidR="00912A41">
        <w:t>research in</w:t>
      </w:r>
      <w:r w:rsidR="009238CA">
        <w:t xml:space="preserve"> geriatric medicine </w:t>
      </w:r>
      <w:r w:rsidR="00912A41">
        <w:t xml:space="preserve">and </w:t>
      </w:r>
      <w:r w:rsidR="001D1047">
        <w:t>interdisciplinary gerontology</w:t>
      </w:r>
      <w:r w:rsidR="00912A41">
        <w:t xml:space="preserve"> </w:t>
      </w:r>
      <w:r w:rsidR="009238CA">
        <w:t>is a</w:t>
      </w:r>
      <w:r w:rsidR="00D1640E">
        <w:t>n essential</w:t>
      </w:r>
      <w:r w:rsidR="009238CA">
        <w:t xml:space="preserve"> component of</w:t>
      </w:r>
      <w:r w:rsidR="00D837EF">
        <w:t xml:space="preserve"> improving healthcare for older people</w:t>
      </w:r>
      <w:r w:rsidR="00D1640E">
        <w:t>. T</w:t>
      </w:r>
      <w:r w:rsidR="002E5D09">
        <w:t>his</w:t>
      </w:r>
      <w:r w:rsidR="009238CA">
        <w:t xml:space="preserve"> is now </w:t>
      </w:r>
      <w:r w:rsidR="002E5D09">
        <w:t>being prioritised by governments and funders</w:t>
      </w:r>
      <w:r w:rsidR="00D1640E">
        <w:t>. T</w:t>
      </w:r>
      <w:r w:rsidR="009238CA">
        <w:t xml:space="preserve">here has never been a </w:t>
      </w:r>
      <w:r w:rsidR="00D1640E">
        <w:t xml:space="preserve">more opportune </w:t>
      </w:r>
      <w:r w:rsidR="009238CA">
        <w:t>time to demonstrate that as a community we can bring academic and clinical activity together to provide better care for our patients</w:t>
      </w:r>
      <w:r w:rsidR="006B5B47">
        <w:t xml:space="preserve">. We must be both </w:t>
      </w:r>
      <w:r w:rsidR="00D61B55">
        <w:t>innovative</w:t>
      </w:r>
      <w:r w:rsidR="006B5B47">
        <w:t xml:space="preserve"> and bold in developing capacity to deliver research into practice – our patients deserve no less.</w:t>
      </w:r>
    </w:p>
    <w:p w14:paraId="4EB18C83" w14:textId="77777777" w:rsidR="00332488" w:rsidRDefault="00332488" w:rsidP="00205A47">
      <w:pPr>
        <w:spacing w:after="0" w:line="480" w:lineRule="auto"/>
        <w:jc w:val="both"/>
      </w:pPr>
    </w:p>
    <w:p w14:paraId="261BECB3" w14:textId="4AFBA87A" w:rsidR="00B91282" w:rsidRDefault="00B91282" w:rsidP="00205A47">
      <w:pPr>
        <w:spacing w:after="0" w:line="480" w:lineRule="auto"/>
        <w:jc w:val="both"/>
      </w:pPr>
      <w:r w:rsidRPr="00157A0E">
        <w:rPr>
          <w:b/>
        </w:rPr>
        <w:t>Acknowledgements:</w:t>
      </w:r>
      <w:r>
        <w:t xml:space="preserve"> </w:t>
      </w:r>
      <w:r w:rsidR="00570D68">
        <w:t>The authors acknowledge the support of NIHR Newcastle Biomedical Research Centre in holding the meeting that led to this Commentary. The views contained herein represent those of the authors and not those of NIHR.</w:t>
      </w:r>
    </w:p>
    <w:p w14:paraId="1F6E7F8A" w14:textId="77777777" w:rsidR="00F73F52" w:rsidRDefault="00F73F52" w:rsidP="00F73F52"/>
    <w:p w14:paraId="0B840E25" w14:textId="601AE1DC" w:rsidR="00F73F52" w:rsidRDefault="00F73F52" w:rsidP="00F73F52">
      <w:r>
        <w:t>The extended working group from the NIHR Newcastle Biomedical Research Centre meeting* includes:</w:t>
      </w:r>
    </w:p>
    <w:p w14:paraId="4EF55E38" w14:textId="641F4A33" w:rsidR="00157A0E" w:rsidRPr="00157A0E" w:rsidRDefault="00F73F52" w:rsidP="00F73F52">
      <w:pPr>
        <w:rPr>
          <w:b/>
        </w:rPr>
      </w:pPr>
      <w:r w:rsidRPr="00157A0E">
        <w:rPr>
          <w:b/>
          <w:highlight w:val="yellow"/>
        </w:rPr>
        <w:t xml:space="preserve"> </w:t>
      </w:r>
      <w:r w:rsidR="00157A0E" w:rsidRPr="00157A0E">
        <w:rPr>
          <w:b/>
          <w:highlight w:val="yellow"/>
        </w:rPr>
        <w:t>[NOTE FOR PRODUCTION: These people to be tagged as collaborators on PubMed in order that they appear against this paper]</w:t>
      </w:r>
    </w:p>
    <w:p w14:paraId="618E50B1" w14:textId="01FE69B3" w:rsidR="00157A0E" w:rsidRPr="007670BF" w:rsidRDefault="00157A0E" w:rsidP="00157A0E">
      <w:r>
        <w:t>Terry J Aspray</w:t>
      </w:r>
      <w:r w:rsidR="00F73F52">
        <w:t xml:space="preserve"> (</w:t>
      </w:r>
      <w:r w:rsidRPr="0022741F">
        <w:t>AGE Research Group, Institute of Neuroscience, Newcastle University; NIHR Newcastle Biomedical Research Centre, Newcastle upon Tyne Hospitals NHS Foundation Trust and Newcastle University</w:t>
      </w:r>
      <w:r w:rsidR="00F73F52">
        <w:t xml:space="preserve">), </w:t>
      </w:r>
      <w:r>
        <w:t>Peter Brock</w:t>
      </w:r>
      <w:r w:rsidR="00F73F52">
        <w:t xml:space="preserve"> (</w:t>
      </w:r>
      <w:r>
        <w:t>Research and Development, Northumbria Healthcare NHS Foundation Trust, North Tyneside Hospital, Rake Lane, Newcastle-upon-Tyne, NE29 8NH</w:t>
      </w:r>
      <w:r w:rsidR="00F73F52">
        <w:t xml:space="preserve">), </w:t>
      </w:r>
      <w:r>
        <w:t>Andrew Clegg</w:t>
      </w:r>
      <w:r w:rsidR="00F73F52">
        <w:t xml:space="preserve"> (</w:t>
      </w:r>
      <w:r w:rsidRPr="007368E7">
        <w:t>Academic Unit for Elderly Care &amp; Rehabilitation (University of Leeds), Bradford Institute for Health Research</w:t>
      </w:r>
      <w:r w:rsidR="00F73F52">
        <w:t xml:space="preserve">), </w:t>
      </w:r>
      <w:r>
        <w:t>Natalie Cox</w:t>
      </w:r>
      <w:r w:rsidR="00F73F52">
        <w:t xml:space="preserve"> (</w:t>
      </w:r>
      <w:r w:rsidRPr="002B0B49">
        <w:t>Academic Geriatric Medicine and CLAHRC We</w:t>
      </w:r>
      <w:r w:rsidR="00F73F52">
        <w:t>ssex, University of Southampton</w:t>
      </w:r>
      <w:r w:rsidRPr="002B0B49">
        <w:t>; Southampton BRC, University Hospital Southampton NHS Foundation Trust, Southampton</w:t>
      </w:r>
      <w:r w:rsidR="00F73F52">
        <w:t xml:space="preserve">), </w:t>
      </w:r>
      <w:r w:rsidRPr="00935F2F">
        <w:t>Victoria Ewan</w:t>
      </w:r>
      <w:r w:rsidR="00F73F52">
        <w:t xml:space="preserve"> (</w:t>
      </w:r>
      <w:r w:rsidRPr="00935F2F">
        <w:t xml:space="preserve">Department of Older Person’s Medicine, James Cook University Hospital, </w:t>
      </w:r>
      <w:proofErr w:type="spellStart"/>
      <w:r w:rsidRPr="00935F2F">
        <w:t>Marton</w:t>
      </w:r>
      <w:proofErr w:type="spellEnd"/>
      <w:r w:rsidRPr="00935F2F">
        <w:t xml:space="preserve"> Road, Middlesbrough</w:t>
      </w:r>
      <w:r w:rsidR="00F73F52">
        <w:t xml:space="preserve">), </w:t>
      </w:r>
      <w:r>
        <w:t>James Frith</w:t>
      </w:r>
      <w:r w:rsidR="00F73F52">
        <w:t xml:space="preserve"> (</w:t>
      </w:r>
      <w:r w:rsidRPr="003D47CB">
        <w:t xml:space="preserve">Institute of </w:t>
      </w:r>
      <w:r>
        <w:t>Cellular Medicine</w:t>
      </w:r>
      <w:r w:rsidRPr="003D47CB">
        <w:t>, Newcastle University</w:t>
      </w:r>
      <w:r w:rsidR="00F73F52">
        <w:t xml:space="preserve">), </w:t>
      </w:r>
      <w:r>
        <w:t>Jennifer K Burton</w:t>
      </w:r>
      <w:r w:rsidR="00F73F52">
        <w:t xml:space="preserve"> (</w:t>
      </w:r>
      <w:r w:rsidRPr="00F76B3D">
        <w:t>Geriatric Medicine, Royal Infirmary of Edinburgh, University of Edinburgh</w:t>
      </w:r>
      <w:r w:rsidR="00F73F52">
        <w:t xml:space="preserve">), </w:t>
      </w:r>
      <w:r>
        <w:t>Thomas Jackson</w:t>
      </w:r>
      <w:r w:rsidR="00F73F52">
        <w:t xml:space="preserve"> (</w:t>
      </w:r>
      <w:r w:rsidRPr="000A65EC">
        <w:t>Institute of Inflammation and Ageing</w:t>
      </w:r>
      <w:r>
        <w:t>, University of Birmingham, Birmingham</w:t>
      </w:r>
      <w:r w:rsidR="00F73F52">
        <w:t xml:space="preserve">), </w:t>
      </w:r>
      <w:r>
        <w:t>Emma Grace Lewis</w:t>
      </w:r>
      <w:r w:rsidR="00F73F52">
        <w:t xml:space="preserve"> (</w:t>
      </w:r>
      <w:r w:rsidRPr="003D47CB">
        <w:t>Institute of Health and Society, Newcastle University; Northumbria Healthcare NHS Foundation Trust, North Tyneside General Hospital</w:t>
      </w:r>
      <w:r w:rsidR="00F73F52">
        <w:t xml:space="preserve">), </w:t>
      </w:r>
      <w:r>
        <w:t>Steven E Lim</w:t>
      </w:r>
      <w:r w:rsidR="00F73F52">
        <w:t xml:space="preserve"> (</w:t>
      </w:r>
      <w:r>
        <w:t xml:space="preserve">Academic Geriatric Medicine, University of Southampton, University Hospital Southampton NHS Trust, </w:t>
      </w:r>
      <w:proofErr w:type="spellStart"/>
      <w:r>
        <w:t>Tremona</w:t>
      </w:r>
      <w:proofErr w:type="spellEnd"/>
      <w:r>
        <w:t xml:space="preserve"> Road, Southampton</w:t>
      </w:r>
      <w:r w:rsidR="00F73F52">
        <w:t>)</w:t>
      </w:r>
      <w:r w:rsidR="007670BF">
        <w:t xml:space="preserve">, </w:t>
      </w:r>
      <w:r>
        <w:t>Stephen Makin</w:t>
      </w:r>
      <w:r w:rsidR="007670BF">
        <w:t xml:space="preserve"> (</w:t>
      </w:r>
      <w:r w:rsidRPr="00EA4C33">
        <w:t>Clinical Lecturer Academic Institute of Cardiovascular and Medical Sciences, University of Glasgow</w:t>
      </w:r>
      <w:r w:rsidR="007670BF">
        <w:t xml:space="preserve">), </w:t>
      </w:r>
      <w:r>
        <w:t xml:space="preserve">Mary Ni </w:t>
      </w:r>
      <w:proofErr w:type="spellStart"/>
      <w:r>
        <w:t>Lochlainn</w:t>
      </w:r>
      <w:proofErr w:type="spellEnd"/>
      <w:r w:rsidR="007670BF">
        <w:t xml:space="preserve"> (</w:t>
      </w:r>
      <w:r w:rsidRPr="007368E7">
        <w:t>Department of Twin Research, Kings College London</w:t>
      </w:r>
      <w:r w:rsidR="007670BF">
        <w:t>,</w:t>
      </w:r>
      <w:r w:rsidR="007670BF" w:rsidRPr="007670BF">
        <w:t xml:space="preserve"> </w:t>
      </w:r>
      <w:r w:rsidR="007670BF" w:rsidRPr="007368E7">
        <w:t>St Thomas' Hospital</w:t>
      </w:r>
      <w:r w:rsidR="007670BF">
        <w:t xml:space="preserve">), </w:t>
      </w:r>
      <w:r>
        <w:t>Sarah Richardson</w:t>
      </w:r>
      <w:r w:rsidR="007670BF">
        <w:t xml:space="preserve"> (</w:t>
      </w:r>
      <w:r w:rsidRPr="002B0B49">
        <w:t>Institute of Neuroscience, Newcastle</w:t>
      </w:r>
      <w:r w:rsidR="007670BF">
        <w:t xml:space="preserve"> University</w:t>
      </w:r>
      <w:r w:rsidRPr="002B0B49">
        <w:t>; NIHR Newcastle Biomedical Research Centre, Newcastle upon Tyne Hospitals NHS Foundation</w:t>
      </w:r>
      <w:r w:rsidR="007670BF">
        <w:t xml:space="preserve"> Trust and Newcastle University</w:t>
      </w:r>
      <w:r w:rsidRPr="002B0B49">
        <w:t>; Newcastle University Institute for Ageing</w:t>
      </w:r>
      <w:r w:rsidR="007670BF">
        <w:t>), Susan D Shenkin (</w:t>
      </w:r>
      <w:r>
        <w:t>Geriatric Medicine, The University of Edinburgh, Royal Infirmary of Edinburgh, Edinburgh</w:t>
      </w:r>
      <w:r w:rsidR="007670BF">
        <w:t xml:space="preserve">), </w:t>
      </w:r>
      <w:r>
        <w:t>Claire J Steves</w:t>
      </w:r>
      <w:r w:rsidR="007670BF">
        <w:t xml:space="preserve"> (</w:t>
      </w:r>
      <w:r w:rsidRPr="007368E7">
        <w:t xml:space="preserve">Department of Twin </w:t>
      </w:r>
      <w:r w:rsidR="007670BF">
        <w:t>Research, Kings College London</w:t>
      </w:r>
      <w:r w:rsidRPr="007368E7">
        <w:t>, St Thomas' Hospital</w:t>
      </w:r>
      <w:r w:rsidR="007670BF">
        <w:t xml:space="preserve">, </w:t>
      </w:r>
      <w:r>
        <w:t>Oliver Todd</w:t>
      </w:r>
      <w:r w:rsidR="007670BF">
        <w:t xml:space="preserve"> (</w:t>
      </w:r>
      <w:r w:rsidRPr="007368E7">
        <w:t xml:space="preserve"> Academic Unit for Elderly Care &amp; Rehabilitation (University of Leeds), Bradford Institute for Health Research</w:t>
      </w:r>
      <w:r w:rsidR="007670BF">
        <w:t xml:space="preserve">), </w:t>
      </w:r>
      <w:r>
        <w:t>Ellen Tullo</w:t>
      </w:r>
      <w:r w:rsidR="007670BF">
        <w:t xml:space="preserve"> (</w:t>
      </w:r>
      <w:r w:rsidRPr="002B0B49">
        <w:t>NIHR Newcastle Biomedical Research Centre, Newcastle upon Tyne Hospitals NHS Foundation</w:t>
      </w:r>
      <w:r w:rsidR="007670BF">
        <w:t xml:space="preserve"> Trust and Newcastle University</w:t>
      </w:r>
      <w:r w:rsidRPr="002B0B49">
        <w:t>; Newcastle University Institute for Ageing</w:t>
      </w:r>
      <w:r w:rsidR="007670BF">
        <w:t xml:space="preserve">), </w:t>
      </w:r>
      <w:r w:rsidRPr="002B0B49">
        <w:t xml:space="preserve">Richard Walker </w:t>
      </w:r>
      <w:r w:rsidR="007670BF">
        <w:t>(</w:t>
      </w:r>
      <w:r w:rsidRPr="002B0B49">
        <w:t>Institute of Health and Society, Newcastle University</w:t>
      </w:r>
      <w:r>
        <w:t>;</w:t>
      </w:r>
      <w:r w:rsidRPr="002B0B49">
        <w:t xml:space="preserve"> </w:t>
      </w:r>
      <w:r>
        <w:t>Northumbria Healthcare NHS Foundation Trust, North Tyneside General Hospital</w:t>
      </w:r>
      <w:r w:rsidR="007670BF">
        <w:t xml:space="preserve">), </w:t>
      </w:r>
      <w:r>
        <w:t>Alison Yarnall</w:t>
      </w:r>
      <w:r w:rsidR="007670BF">
        <w:t xml:space="preserve"> (</w:t>
      </w:r>
      <w:r w:rsidRPr="00EA4C33">
        <w:t>Clinical Ageing Research Unit, Campus for Ageing &amp; Vitality, Institute of Neu</w:t>
      </w:r>
      <w:r w:rsidR="007670BF">
        <w:t>roscience, Newcastle University</w:t>
      </w:r>
      <w:r w:rsidRPr="00EA4C33">
        <w:t>; NIHR Newcastle Biomedical Research Centre, Newcastle upon Tyne Hospitals NHS Foundation</w:t>
      </w:r>
      <w:r w:rsidR="007670BF">
        <w:t xml:space="preserve"> Trust and Newcastle University</w:t>
      </w:r>
      <w:r w:rsidRPr="00EA4C33">
        <w:t>; Newcastle University Institute for Ageing</w:t>
      </w:r>
      <w:r w:rsidR="007670BF">
        <w:t xml:space="preserve">). </w:t>
      </w:r>
      <w:r>
        <w:t>Correspondence to: Professor Avan Sayer, NIHR Newcastle Biomedical Research Centre, Campus for Ageing and Vitality, Newcastle upon Tyne NE4 5PL, UK</w:t>
      </w:r>
      <w:r w:rsidR="007670BF">
        <w:t xml:space="preserve"> </w:t>
      </w:r>
      <w:r w:rsidRPr="00505355">
        <w:rPr>
          <w:lang w:val="fr-FR"/>
        </w:rPr>
        <w:t xml:space="preserve">Email: </w:t>
      </w:r>
      <w:hyperlink r:id="rId5" w:history="1">
        <w:r w:rsidR="007670BF" w:rsidRPr="00E17DFD">
          <w:rPr>
            <w:rStyle w:val="Hyperlink"/>
            <w:lang w:val="fr-FR"/>
          </w:rPr>
          <w:t>avan.sayer@newcastle.ac.uk</w:t>
        </w:r>
      </w:hyperlink>
      <w:r w:rsidR="007670BF">
        <w:rPr>
          <w:lang w:val="fr-FR"/>
        </w:rPr>
        <w:t xml:space="preserve"> </w:t>
      </w:r>
    </w:p>
    <w:p w14:paraId="4CC321E8" w14:textId="77777777" w:rsidR="00157A0E" w:rsidRDefault="00157A0E" w:rsidP="00205A47">
      <w:pPr>
        <w:spacing w:after="0" w:line="480" w:lineRule="auto"/>
        <w:jc w:val="both"/>
      </w:pPr>
    </w:p>
    <w:p w14:paraId="68DB954D" w14:textId="77777777" w:rsidR="00570D68" w:rsidRDefault="00570D68" w:rsidP="00205A47">
      <w:pPr>
        <w:spacing w:after="0" w:line="480" w:lineRule="auto"/>
        <w:jc w:val="both"/>
      </w:pPr>
    </w:p>
    <w:p w14:paraId="2EBBB234" w14:textId="1C20BD12" w:rsidR="00B91282" w:rsidRDefault="00B91282" w:rsidP="00205A47">
      <w:pPr>
        <w:spacing w:after="0" w:line="480" w:lineRule="auto"/>
        <w:jc w:val="both"/>
      </w:pPr>
      <w:r w:rsidRPr="00157A0E">
        <w:rPr>
          <w:b/>
        </w:rPr>
        <w:t xml:space="preserve">Conflicts of interest: </w:t>
      </w:r>
      <w:r>
        <w:t>None</w:t>
      </w:r>
    </w:p>
    <w:p w14:paraId="138CD053" w14:textId="77777777" w:rsidR="00B91282" w:rsidRDefault="00B91282" w:rsidP="00205A47">
      <w:pPr>
        <w:spacing w:after="0" w:line="480" w:lineRule="auto"/>
        <w:jc w:val="both"/>
      </w:pPr>
    </w:p>
    <w:p w14:paraId="74B9BDC8" w14:textId="77777777" w:rsidR="006E2B3A" w:rsidRDefault="006E2B3A">
      <w:pPr>
        <w:rPr>
          <w:b/>
        </w:rPr>
      </w:pPr>
      <w:r>
        <w:rPr>
          <w:b/>
        </w:rPr>
        <w:br w:type="page"/>
      </w:r>
    </w:p>
    <w:p w14:paraId="69114EC9" w14:textId="19412F21" w:rsidR="006C74FA" w:rsidRPr="003574B2" w:rsidRDefault="006C74FA" w:rsidP="003574B2">
      <w:pPr>
        <w:spacing w:after="0" w:line="480" w:lineRule="auto"/>
        <w:jc w:val="both"/>
        <w:rPr>
          <w:b/>
        </w:rPr>
      </w:pPr>
      <w:r w:rsidRPr="003574B2">
        <w:rPr>
          <w:b/>
        </w:rPr>
        <w:lastRenderedPageBreak/>
        <w:t>References</w:t>
      </w:r>
    </w:p>
    <w:p w14:paraId="150D210B" w14:textId="401B0EBD" w:rsidR="00415CE9" w:rsidRPr="00505355" w:rsidRDefault="006C74FA" w:rsidP="003574B2">
      <w:pPr>
        <w:spacing w:after="0" w:line="480" w:lineRule="auto"/>
        <w:jc w:val="both"/>
      </w:pPr>
      <w:r>
        <w:t xml:space="preserve"> </w:t>
      </w:r>
      <w:r w:rsidR="00946C04">
        <w:t>[</w:t>
      </w:r>
      <w:r w:rsidR="00946C04" w:rsidRPr="00906A6A">
        <w:t xml:space="preserve">1] </w:t>
      </w:r>
      <w:r w:rsidR="00415CE9" w:rsidRPr="00553133">
        <w:t xml:space="preserve">Prince MJ, Wu F, </w:t>
      </w:r>
      <w:proofErr w:type="spellStart"/>
      <w:r w:rsidR="00415CE9" w:rsidRPr="00553133">
        <w:t>Guo</w:t>
      </w:r>
      <w:proofErr w:type="spellEnd"/>
      <w:r w:rsidR="00415CE9" w:rsidRPr="00553133">
        <w:t xml:space="preserve"> Y, Gutierrez Robledo LM, O’Donnell M, Sullivan R, Yusuf S. The burden of disease in older people and implications for health </w:t>
      </w:r>
      <w:r w:rsidR="00761B5C" w:rsidRPr="00505355">
        <w:t>policy and practice. Lancet 2015</w:t>
      </w:r>
      <w:r w:rsidR="00415CE9" w:rsidRPr="00505355">
        <w:t>; 385: 549-62</w:t>
      </w:r>
    </w:p>
    <w:p w14:paraId="04501551" w14:textId="3B36E86F" w:rsidR="00946C04" w:rsidRDefault="00946C04" w:rsidP="003574B2">
      <w:pPr>
        <w:spacing w:after="0" w:line="480" w:lineRule="auto"/>
        <w:jc w:val="both"/>
      </w:pPr>
      <w:r w:rsidRPr="00505355">
        <w:t>[2]</w:t>
      </w:r>
      <w:r w:rsidR="006C74FA" w:rsidRPr="00505355">
        <w:t xml:space="preserve"> </w:t>
      </w:r>
      <w:r w:rsidR="00906A6A" w:rsidRPr="00553133">
        <w:t xml:space="preserve">Crome P, Cherubini A, </w:t>
      </w:r>
      <w:proofErr w:type="spellStart"/>
      <w:r w:rsidR="00906A6A" w:rsidRPr="00553133">
        <w:t>Oristrell</w:t>
      </w:r>
      <w:proofErr w:type="spellEnd"/>
      <w:r w:rsidR="00906A6A" w:rsidRPr="00553133">
        <w:t xml:space="preserve"> J. The PREDICT (increasing the participation of the elderly in clinical trials) study: the charter and beyond. Expert Rev </w:t>
      </w:r>
      <w:proofErr w:type="spellStart"/>
      <w:r w:rsidR="00906A6A" w:rsidRPr="00553133">
        <w:t>Clin</w:t>
      </w:r>
      <w:proofErr w:type="spellEnd"/>
      <w:r w:rsidR="00906A6A" w:rsidRPr="00553133">
        <w:t xml:space="preserve"> </w:t>
      </w:r>
      <w:proofErr w:type="spellStart"/>
      <w:r w:rsidR="00906A6A" w:rsidRPr="00553133">
        <w:t>Pharmacol</w:t>
      </w:r>
      <w:proofErr w:type="spellEnd"/>
      <w:r w:rsidR="00906A6A" w:rsidRPr="00553133">
        <w:t>. 2014</w:t>
      </w:r>
      <w:proofErr w:type="gramStart"/>
      <w:r w:rsidR="00906A6A" w:rsidRPr="00553133">
        <w:t>;7</w:t>
      </w:r>
      <w:r w:rsidR="00906A6A" w:rsidRPr="00663E8F">
        <w:t>:457</w:t>
      </w:r>
      <w:proofErr w:type="gramEnd"/>
      <w:r w:rsidR="00906A6A" w:rsidRPr="00663E8F">
        <w:t>-68.</w:t>
      </w:r>
    </w:p>
    <w:p w14:paraId="3214B289" w14:textId="3BD3D7EF" w:rsidR="00663E8F" w:rsidRDefault="00663E8F" w:rsidP="003574B2">
      <w:pPr>
        <w:spacing w:after="0" w:line="480" w:lineRule="auto"/>
        <w:jc w:val="both"/>
      </w:pPr>
      <w:r>
        <w:t xml:space="preserve">[3] NIHR Clinical Research Network Ageing portfolio. </w:t>
      </w:r>
      <w:hyperlink r:id="rId6" w:history="1">
        <w:r w:rsidRPr="00F56A78">
          <w:rPr>
            <w:rStyle w:val="Hyperlink"/>
          </w:rPr>
          <w:t>www.crn.nihr.ac.uk/ageing</w:t>
        </w:r>
      </w:hyperlink>
      <w:r>
        <w:t>. Accessed 3</w:t>
      </w:r>
      <w:r w:rsidRPr="00505355">
        <w:rPr>
          <w:vertAlign w:val="superscript"/>
        </w:rPr>
        <w:t>rd</w:t>
      </w:r>
      <w:r>
        <w:t xml:space="preserve"> July 2018</w:t>
      </w:r>
    </w:p>
    <w:p w14:paraId="77C0080E" w14:textId="447FCB82" w:rsidR="003E69FA" w:rsidRDefault="00946C04" w:rsidP="003574B2">
      <w:pPr>
        <w:spacing w:after="0" w:line="480" w:lineRule="auto"/>
        <w:jc w:val="both"/>
      </w:pPr>
      <w:r>
        <w:t>[</w:t>
      </w:r>
      <w:r w:rsidR="0094032C">
        <w:t>4</w:t>
      </w:r>
      <w:r>
        <w:t>] F</w:t>
      </w:r>
      <w:r w:rsidR="003E69FA" w:rsidRPr="003E69FA">
        <w:t>isher JM, Garside MJ, Brock P, Gibson V, Hunt K, Briggs S, Gordon AL.</w:t>
      </w:r>
      <w:r w:rsidR="003E69FA">
        <w:t xml:space="preserve"> Why geriatric medicine? A survey of UK specialist trainees in geriatric medicine. Age Ageing 2017; 46: 672-677</w:t>
      </w:r>
    </w:p>
    <w:p w14:paraId="1F4ED873" w14:textId="75AF0441" w:rsidR="00E6601A" w:rsidRDefault="00946C04" w:rsidP="003574B2">
      <w:pPr>
        <w:spacing w:after="0" w:line="480" w:lineRule="auto"/>
        <w:jc w:val="both"/>
      </w:pPr>
      <w:r>
        <w:t>[</w:t>
      </w:r>
      <w:r w:rsidR="0094032C">
        <w:t>5</w:t>
      </w:r>
      <w:r>
        <w:t xml:space="preserve">] </w:t>
      </w:r>
      <w:r w:rsidR="00E6601A">
        <w:t xml:space="preserve">Lambert TW, Smith F, </w:t>
      </w:r>
      <w:proofErr w:type="spellStart"/>
      <w:r w:rsidR="00E6601A">
        <w:t>Goldacre</w:t>
      </w:r>
      <w:proofErr w:type="spellEnd"/>
      <w:r w:rsidR="00E6601A">
        <w:t xml:space="preserve"> MJ. </w:t>
      </w:r>
      <w:r w:rsidR="00E6601A" w:rsidRPr="00E6601A">
        <w:t>Career specialty choices of UK medical graduates of 2015 compared with earlier cohorts: questionnaire surveys.</w:t>
      </w:r>
      <w:r w:rsidR="00E6601A">
        <w:t xml:space="preserve"> Postgrad Med J 2018; 94: 191-7</w:t>
      </w:r>
    </w:p>
    <w:p w14:paraId="59A121D2" w14:textId="56431D22" w:rsidR="003E69FA" w:rsidRDefault="00946C04" w:rsidP="003574B2">
      <w:pPr>
        <w:spacing w:after="0" w:line="480" w:lineRule="auto"/>
        <w:jc w:val="both"/>
      </w:pPr>
      <w:r>
        <w:t>[</w:t>
      </w:r>
      <w:r w:rsidR="0094032C">
        <w:t>6</w:t>
      </w:r>
      <w:r>
        <w:t xml:space="preserve">] </w:t>
      </w:r>
      <w:r w:rsidR="003E69FA" w:rsidRPr="003E69FA">
        <w:t>Powell K.</w:t>
      </w:r>
      <w:r w:rsidR="003E69FA">
        <w:t xml:space="preserve"> The future of the postdoc. Nature 2015; 520: 144-7</w:t>
      </w:r>
    </w:p>
    <w:p w14:paraId="34F8DB21" w14:textId="7AB2787F" w:rsidR="00516E4A" w:rsidRDefault="00946C04" w:rsidP="003574B2">
      <w:pPr>
        <w:spacing w:after="0" w:line="480" w:lineRule="auto"/>
        <w:jc w:val="both"/>
      </w:pPr>
      <w:r>
        <w:t>[</w:t>
      </w:r>
      <w:r w:rsidR="00841413">
        <w:t>7</w:t>
      </w:r>
      <w:r>
        <w:t xml:space="preserve">] </w:t>
      </w:r>
      <w:proofErr w:type="spellStart"/>
      <w:r w:rsidR="00583ED3" w:rsidRPr="00583ED3">
        <w:t>Spyridonidis</w:t>
      </w:r>
      <w:proofErr w:type="spellEnd"/>
      <w:r w:rsidR="00583ED3" w:rsidRPr="00583ED3">
        <w:t xml:space="preserve"> D, Hendy J, Barlow J. Leadership for knowledge translation: the ca</w:t>
      </w:r>
      <w:r w:rsidR="00505355">
        <w:t xml:space="preserve">se of CLAHRCs. </w:t>
      </w:r>
      <w:proofErr w:type="spellStart"/>
      <w:r w:rsidR="00505355">
        <w:t>Qual</w:t>
      </w:r>
      <w:proofErr w:type="spellEnd"/>
      <w:r w:rsidR="00505355">
        <w:t xml:space="preserve"> Health Res. </w:t>
      </w:r>
      <w:r w:rsidR="00583ED3" w:rsidRPr="00583ED3">
        <w:t>2015; 25: 1492–505.</w:t>
      </w:r>
    </w:p>
    <w:p w14:paraId="76943B46" w14:textId="57547EF9" w:rsidR="00583ED3" w:rsidRDefault="00946C04" w:rsidP="003574B2">
      <w:pPr>
        <w:spacing w:after="0" w:line="480" w:lineRule="auto"/>
        <w:jc w:val="both"/>
      </w:pPr>
      <w:r>
        <w:t>[</w:t>
      </w:r>
      <w:r w:rsidR="00841413">
        <w:t>8</w:t>
      </w:r>
      <w:r>
        <w:t xml:space="preserve">] </w:t>
      </w:r>
      <w:r w:rsidR="00583ED3">
        <w:t xml:space="preserve">Gladman JR, Conroy SP, </w:t>
      </w:r>
      <w:proofErr w:type="spellStart"/>
      <w:r w:rsidR="00583ED3">
        <w:t>Ranhoff</w:t>
      </w:r>
      <w:proofErr w:type="spellEnd"/>
      <w:r w:rsidR="00583ED3">
        <w:t xml:space="preserve"> AH, Gordon AL. </w:t>
      </w:r>
      <w:r w:rsidR="00583ED3" w:rsidRPr="00583ED3">
        <w:t>New horizons in the implementation and research of comprehensive geriatric assessment: knowing, doing and the 'know-do' gap.</w:t>
      </w:r>
      <w:r w:rsidR="00583ED3">
        <w:t xml:space="preserve"> Age Ageing 2016; 45: 194-200</w:t>
      </w:r>
    </w:p>
    <w:p w14:paraId="6F0A36AF" w14:textId="63EFF983" w:rsidR="00841413" w:rsidRDefault="00841413" w:rsidP="003574B2">
      <w:pPr>
        <w:spacing w:after="0" w:line="480" w:lineRule="auto"/>
        <w:jc w:val="both"/>
      </w:pPr>
      <w:r>
        <w:t>[9</w:t>
      </w:r>
      <w:r w:rsidRPr="00841413">
        <w:t>] Petit-</w:t>
      </w:r>
      <w:proofErr w:type="spellStart"/>
      <w:r w:rsidRPr="00841413">
        <w:t>Zeman</w:t>
      </w:r>
      <w:proofErr w:type="spellEnd"/>
      <w:r w:rsidRPr="00841413">
        <w:t xml:space="preserve"> S, Firkins L, </w:t>
      </w:r>
      <w:proofErr w:type="spellStart"/>
      <w:r w:rsidRPr="00841413">
        <w:t>Scadding</w:t>
      </w:r>
      <w:proofErr w:type="spellEnd"/>
      <w:r w:rsidRPr="00841413">
        <w:t xml:space="preserve"> JW. The James Lind Alliance: tackling research mismatches. Lancet 2010; 376: 667-9</w:t>
      </w:r>
    </w:p>
    <w:p w14:paraId="0843F89A" w14:textId="51E5F07F" w:rsidR="00841413" w:rsidRDefault="00841413" w:rsidP="003574B2">
      <w:pPr>
        <w:spacing w:after="0" w:line="480" w:lineRule="auto"/>
        <w:jc w:val="both"/>
      </w:pPr>
      <w:r>
        <w:t>[10</w:t>
      </w:r>
      <w:r w:rsidRPr="00841413">
        <w:t>] James Lind Alliance. Multiple Conditions in Later Life top 10 priorities. http://www.jla.nihr.ac.uk/priority-setting-partnerships/health-with-multiple-conditions-in-old-age/top-10-priorities.htm. Accessed 6th June 2018</w:t>
      </w:r>
    </w:p>
    <w:p w14:paraId="4FDD9192" w14:textId="4317FB44" w:rsidR="00EF2319" w:rsidRDefault="00EF2319" w:rsidP="003574B2">
      <w:pPr>
        <w:spacing w:after="0" w:line="480" w:lineRule="auto"/>
        <w:jc w:val="both"/>
      </w:pPr>
      <w:r>
        <w:t>[11] Academy of Medical Sciences. Multimorbidity: a priority for global health research. April 2018.</w:t>
      </w:r>
    </w:p>
    <w:p w14:paraId="49FB3DE8" w14:textId="0658AD13" w:rsidR="00516E4A" w:rsidRDefault="00946C04" w:rsidP="003574B2">
      <w:pPr>
        <w:spacing w:after="0" w:line="480" w:lineRule="auto"/>
        <w:jc w:val="both"/>
      </w:pPr>
      <w:r>
        <w:t>[</w:t>
      </w:r>
      <w:r w:rsidR="00EF2319">
        <w:t>12</w:t>
      </w:r>
      <w:r>
        <w:t xml:space="preserve">] </w:t>
      </w:r>
      <w:r w:rsidR="005B306D">
        <w:t xml:space="preserve">Whitty CJM.  </w:t>
      </w:r>
      <w:proofErr w:type="spellStart"/>
      <w:r w:rsidR="001B6E23">
        <w:t>Harveian</w:t>
      </w:r>
      <w:proofErr w:type="spellEnd"/>
      <w:r w:rsidR="001B6E23">
        <w:t xml:space="preserve"> Oration 2017:</w:t>
      </w:r>
      <w:r w:rsidR="005B306D">
        <w:t xml:space="preserve"> Triumphs and challenges in a world shaped by medicine. </w:t>
      </w:r>
      <w:proofErr w:type="spellStart"/>
      <w:r w:rsidR="005B306D">
        <w:t>Clin</w:t>
      </w:r>
      <w:proofErr w:type="spellEnd"/>
      <w:r w:rsidR="005B306D">
        <w:t xml:space="preserve"> Medicine 2017; 17: 537-44</w:t>
      </w:r>
    </w:p>
    <w:p w14:paraId="413A5BED" w14:textId="500C14CE" w:rsidR="0094032C" w:rsidRDefault="00EF2319" w:rsidP="003574B2">
      <w:pPr>
        <w:spacing w:after="0" w:line="480" w:lineRule="auto"/>
        <w:jc w:val="both"/>
      </w:pPr>
      <w:r>
        <w:lastRenderedPageBreak/>
        <w:t>[13</w:t>
      </w:r>
      <w:r w:rsidR="0094032C">
        <w:t xml:space="preserve">] </w:t>
      </w:r>
      <w:proofErr w:type="spellStart"/>
      <w:r w:rsidR="0094032C" w:rsidRPr="0094032C">
        <w:t>Zerzan</w:t>
      </w:r>
      <w:proofErr w:type="spellEnd"/>
      <w:r w:rsidR="0094032C" w:rsidRPr="0094032C">
        <w:t xml:space="preserve"> JT, Rich EC</w:t>
      </w:r>
      <w:r w:rsidR="0094032C">
        <w:t xml:space="preserve">. </w:t>
      </w:r>
      <w:r w:rsidR="0094032C" w:rsidRPr="0094032C">
        <w:t xml:space="preserve">Advancing Geriatrics Research, Education, and Practice: Policy Challenges </w:t>
      </w:r>
      <w:proofErr w:type="gramStart"/>
      <w:r w:rsidR="0094032C" w:rsidRPr="0094032C">
        <w:t>After</w:t>
      </w:r>
      <w:proofErr w:type="gramEnd"/>
      <w:r w:rsidR="0094032C" w:rsidRPr="0094032C">
        <w:t xml:space="preserve"> the Great Recession</w:t>
      </w:r>
      <w:r w:rsidR="001D5E1D">
        <w:t>.</w:t>
      </w:r>
      <w:r w:rsidR="0094032C" w:rsidRPr="0094032C">
        <w:t xml:space="preserve"> J Gen Intern Med. 2014; 29: 920–925.</w:t>
      </w:r>
    </w:p>
    <w:sectPr w:rsidR="00940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7C8F"/>
    <w:multiLevelType w:val="hybridMultilevel"/>
    <w:tmpl w:val="54BC34FE"/>
    <w:lvl w:ilvl="0" w:tplc="5528335E">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E14F3"/>
    <w:multiLevelType w:val="hybridMultilevel"/>
    <w:tmpl w:val="E28E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B7"/>
    <w:rsid w:val="00005B02"/>
    <w:rsid w:val="00023306"/>
    <w:rsid w:val="00042444"/>
    <w:rsid w:val="000454C4"/>
    <w:rsid w:val="00055157"/>
    <w:rsid w:val="00057B0C"/>
    <w:rsid w:val="0007475D"/>
    <w:rsid w:val="000A5473"/>
    <w:rsid w:val="000A65EC"/>
    <w:rsid w:val="000B4770"/>
    <w:rsid w:val="000F162F"/>
    <w:rsid w:val="001066F6"/>
    <w:rsid w:val="00122914"/>
    <w:rsid w:val="00141C3B"/>
    <w:rsid w:val="001533D4"/>
    <w:rsid w:val="00157A0E"/>
    <w:rsid w:val="00164D88"/>
    <w:rsid w:val="00170032"/>
    <w:rsid w:val="001B0AC4"/>
    <w:rsid w:val="001B19C9"/>
    <w:rsid w:val="001B53C6"/>
    <w:rsid w:val="001B6E23"/>
    <w:rsid w:val="001C457B"/>
    <w:rsid w:val="001C7F1E"/>
    <w:rsid w:val="001D1047"/>
    <w:rsid w:val="001D5E1D"/>
    <w:rsid w:val="001E531D"/>
    <w:rsid w:val="001F18A1"/>
    <w:rsid w:val="00205A47"/>
    <w:rsid w:val="0022741F"/>
    <w:rsid w:val="0022751D"/>
    <w:rsid w:val="0023504D"/>
    <w:rsid w:val="00261C35"/>
    <w:rsid w:val="002953CE"/>
    <w:rsid w:val="002A7787"/>
    <w:rsid w:val="002B0B49"/>
    <w:rsid w:val="002E5D09"/>
    <w:rsid w:val="002F7F55"/>
    <w:rsid w:val="00301336"/>
    <w:rsid w:val="00323BEA"/>
    <w:rsid w:val="00331E14"/>
    <w:rsid w:val="00332488"/>
    <w:rsid w:val="003356BA"/>
    <w:rsid w:val="00343A99"/>
    <w:rsid w:val="003574B2"/>
    <w:rsid w:val="00383BF5"/>
    <w:rsid w:val="003851DB"/>
    <w:rsid w:val="003902F7"/>
    <w:rsid w:val="003A1FB9"/>
    <w:rsid w:val="003C596B"/>
    <w:rsid w:val="003D0FBD"/>
    <w:rsid w:val="003D3F4E"/>
    <w:rsid w:val="003D47CB"/>
    <w:rsid w:val="003E69FA"/>
    <w:rsid w:val="00401F17"/>
    <w:rsid w:val="004029E4"/>
    <w:rsid w:val="00415CE9"/>
    <w:rsid w:val="0046713D"/>
    <w:rsid w:val="004802B4"/>
    <w:rsid w:val="00492BE5"/>
    <w:rsid w:val="004B23CB"/>
    <w:rsid w:val="004C4F25"/>
    <w:rsid w:val="004C6105"/>
    <w:rsid w:val="00505355"/>
    <w:rsid w:val="00516E4A"/>
    <w:rsid w:val="0055105A"/>
    <w:rsid w:val="00553133"/>
    <w:rsid w:val="0056637C"/>
    <w:rsid w:val="00570D68"/>
    <w:rsid w:val="005751B3"/>
    <w:rsid w:val="00583ED3"/>
    <w:rsid w:val="005914AE"/>
    <w:rsid w:val="005952DE"/>
    <w:rsid w:val="00597821"/>
    <w:rsid w:val="005B306D"/>
    <w:rsid w:val="005B7350"/>
    <w:rsid w:val="005D2B33"/>
    <w:rsid w:val="0060215F"/>
    <w:rsid w:val="00616F1F"/>
    <w:rsid w:val="00663E8F"/>
    <w:rsid w:val="00671D81"/>
    <w:rsid w:val="006755E6"/>
    <w:rsid w:val="00692FE3"/>
    <w:rsid w:val="006961E1"/>
    <w:rsid w:val="006B5B47"/>
    <w:rsid w:val="006C2984"/>
    <w:rsid w:val="006C74FA"/>
    <w:rsid w:val="006E2B3A"/>
    <w:rsid w:val="006E459E"/>
    <w:rsid w:val="00722F89"/>
    <w:rsid w:val="007248B7"/>
    <w:rsid w:val="00734793"/>
    <w:rsid w:val="007368CB"/>
    <w:rsid w:val="007368E7"/>
    <w:rsid w:val="007459BA"/>
    <w:rsid w:val="00750909"/>
    <w:rsid w:val="00757BF5"/>
    <w:rsid w:val="00760645"/>
    <w:rsid w:val="00761B5C"/>
    <w:rsid w:val="0076596F"/>
    <w:rsid w:val="00766FC6"/>
    <w:rsid w:val="007670BF"/>
    <w:rsid w:val="007A005D"/>
    <w:rsid w:val="007B4263"/>
    <w:rsid w:val="007C445D"/>
    <w:rsid w:val="007C4C46"/>
    <w:rsid w:val="007D51AF"/>
    <w:rsid w:val="007F1EDA"/>
    <w:rsid w:val="00825DE6"/>
    <w:rsid w:val="00832B13"/>
    <w:rsid w:val="00841413"/>
    <w:rsid w:val="008503E7"/>
    <w:rsid w:val="00864215"/>
    <w:rsid w:val="008A3533"/>
    <w:rsid w:val="008A3CE2"/>
    <w:rsid w:val="008D2322"/>
    <w:rsid w:val="009040AC"/>
    <w:rsid w:val="00906A6A"/>
    <w:rsid w:val="00912A41"/>
    <w:rsid w:val="0092229A"/>
    <w:rsid w:val="009238CA"/>
    <w:rsid w:val="00935F2F"/>
    <w:rsid w:val="0094032C"/>
    <w:rsid w:val="00946C04"/>
    <w:rsid w:val="009522F0"/>
    <w:rsid w:val="0096602D"/>
    <w:rsid w:val="0096701C"/>
    <w:rsid w:val="009765F4"/>
    <w:rsid w:val="00981563"/>
    <w:rsid w:val="009A08C5"/>
    <w:rsid w:val="009A37BF"/>
    <w:rsid w:val="00A01D27"/>
    <w:rsid w:val="00A135AE"/>
    <w:rsid w:val="00A16CAC"/>
    <w:rsid w:val="00A17697"/>
    <w:rsid w:val="00A25B95"/>
    <w:rsid w:val="00A31EDB"/>
    <w:rsid w:val="00A3218D"/>
    <w:rsid w:val="00A41227"/>
    <w:rsid w:val="00A62244"/>
    <w:rsid w:val="00A63B4E"/>
    <w:rsid w:val="00A912EB"/>
    <w:rsid w:val="00A92DCC"/>
    <w:rsid w:val="00AB5040"/>
    <w:rsid w:val="00AC0940"/>
    <w:rsid w:val="00AD2888"/>
    <w:rsid w:val="00AD53C2"/>
    <w:rsid w:val="00AF5106"/>
    <w:rsid w:val="00B041DD"/>
    <w:rsid w:val="00B0646D"/>
    <w:rsid w:val="00B10E55"/>
    <w:rsid w:val="00B12E44"/>
    <w:rsid w:val="00B62D9E"/>
    <w:rsid w:val="00B661BC"/>
    <w:rsid w:val="00B6657C"/>
    <w:rsid w:val="00B91282"/>
    <w:rsid w:val="00BC3BE3"/>
    <w:rsid w:val="00BF7F58"/>
    <w:rsid w:val="00C3147D"/>
    <w:rsid w:val="00C52D13"/>
    <w:rsid w:val="00CB1832"/>
    <w:rsid w:val="00CB1A75"/>
    <w:rsid w:val="00CC1341"/>
    <w:rsid w:val="00D14D28"/>
    <w:rsid w:val="00D1640E"/>
    <w:rsid w:val="00D25DF6"/>
    <w:rsid w:val="00D474E6"/>
    <w:rsid w:val="00D60841"/>
    <w:rsid w:val="00D61B55"/>
    <w:rsid w:val="00D6536F"/>
    <w:rsid w:val="00D837EF"/>
    <w:rsid w:val="00DC57FA"/>
    <w:rsid w:val="00DE3EB4"/>
    <w:rsid w:val="00DF4330"/>
    <w:rsid w:val="00E00206"/>
    <w:rsid w:val="00E3045E"/>
    <w:rsid w:val="00E6601A"/>
    <w:rsid w:val="00E8198B"/>
    <w:rsid w:val="00E97517"/>
    <w:rsid w:val="00EA4C33"/>
    <w:rsid w:val="00EB1BC1"/>
    <w:rsid w:val="00EB79BC"/>
    <w:rsid w:val="00EF2319"/>
    <w:rsid w:val="00F23C41"/>
    <w:rsid w:val="00F26C80"/>
    <w:rsid w:val="00F463A5"/>
    <w:rsid w:val="00F675AE"/>
    <w:rsid w:val="00F7277A"/>
    <w:rsid w:val="00F73333"/>
    <w:rsid w:val="00F73F52"/>
    <w:rsid w:val="00F76B3D"/>
    <w:rsid w:val="00FA1126"/>
    <w:rsid w:val="00FE36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D041"/>
  <w15:docId w15:val="{2B48093F-C23F-41F2-BE1E-5E886DE9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1C"/>
    <w:pPr>
      <w:ind w:left="720"/>
      <w:contextualSpacing/>
    </w:pPr>
  </w:style>
  <w:style w:type="character" w:styleId="CommentReference">
    <w:name w:val="annotation reference"/>
    <w:basedOn w:val="DefaultParagraphFont"/>
    <w:uiPriority w:val="99"/>
    <w:semiHidden/>
    <w:unhideWhenUsed/>
    <w:rsid w:val="00864215"/>
    <w:rPr>
      <w:sz w:val="16"/>
      <w:szCs w:val="16"/>
    </w:rPr>
  </w:style>
  <w:style w:type="paragraph" w:styleId="CommentText">
    <w:name w:val="annotation text"/>
    <w:basedOn w:val="Normal"/>
    <w:link w:val="CommentTextChar"/>
    <w:uiPriority w:val="99"/>
    <w:semiHidden/>
    <w:unhideWhenUsed/>
    <w:rsid w:val="00864215"/>
    <w:pPr>
      <w:spacing w:line="240" w:lineRule="auto"/>
    </w:pPr>
    <w:rPr>
      <w:sz w:val="20"/>
      <w:szCs w:val="20"/>
    </w:rPr>
  </w:style>
  <w:style w:type="character" w:customStyle="1" w:styleId="CommentTextChar">
    <w:name w:val="Comment Text Char"/>
    <w:basedOn w:val="DefaultParagraphFont"/>
    <w:link w:val="CommentText"/>
    <w:uiPriority w:val="99"/>
    <w:semiHidden/>
    <w:rsid w:val="00864215"/>
    <w:rPr>
      <w:sz w:val="20"/>
      <w:szCs w:val="20"/>
    </w:rPr>
  </w:style>
  <w:style w:type="paragraph" w:styleId="CommentSubject">
    <w:name w:val="annotation subject"/>
    <w:basedOn w:val="CommentText"/>
    <w:next w:val="CommentText"/>
    <w:link w:val="CommentSubjectChar"/>
    <w:uiPriority w:val="99"/>
    <w:semiHidden/>
    <w:unhideWhenUsed/>
    <w:rsid w:val="00864215"/>
    <w:rPr>
      <w:b/>
      <w:bCs/>
    </w:rPr>
  </w:style>
  <w:style w:type="character" w:customStyle="1" w:styleId="CommentSubjectChar">
    <w:name w:val="Comment Subject Char"/>
    <w:basedOn w:val="CommentTextChar"/>
    <w:link w:val="CommentSubject"/>
    <w:uiPriority w:val="99"/>
    <w:semiHidden/>
    <w:rsid w:val="00864215"/>
    <w:rPr>
      <w:b/>
      <w:bCs/>
      <w:sz w:val="20"/>
      <w:szCs w:val="20"/>
    </w:rPr>
  </w:style>
  <w:style w:type="paragraph" w:styleId="BalloonText">
    <w:name w:val="Balloon Text"/>
    <w:basedOn w:val="Normal"/>
    <w:link w:val="BalloonTextChar"/>
    <w:uiPriority w:val="99"/>
    <w:semiHidden/>
    <w:unhideWhenUsed/>
    <w:rsid w:val="0086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15"/>
    <w:rPr>
      <w:rFonts w:ascii="Segoe UI" w:hAnsi="Segoe UI" w:cs="Segoe UI"/>
      <w:sz w:val="18"/>
      <w:szCs w:val="18"/>
    </w:rPr>
  </w:style>
  <w:style w:type="character" w:styleId="Hyperlink">
    <w:name w:val="Hyperlink"/>
    <w:basedOn w:val="DefaultParagraphFont"/>
    <w:uiPriority w:val="99"/>
    <w:unhideWhenUsed/>
    <w:rsid w:val="00516E4A"/>
    <w:rPr>
      <w:color w:val="0563C1" w:themeColor="hyperlink"/>
      <w:u w:val="single"/>
    </w:rPr>
  </w:style>
  <w:style w:type="paragraph" w:styleId="Revision">
    <w:name w:val="Revision"/>
    <w:hidden/>
    <w:uiPriority w:val="99"/>
    <w:semiHidden/>
    <w:rsid w:val="00B12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n.nihr.ac.uk/ageing" TargetMode="External"/><Relationship Id="rId5" Type="http://schemas.openxmlformats.org/officeDocument/2006/relationships/hyperlink" Target="mailto:avan.sayer@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Witham</dc:creator>
  <cp:lastModifiedBy>John Gladman</cp:lastModifiedBy>
  <cp:revision>2</cp:revision>
  <dcterms:created xsi:type="dcterms:W3CDTF">2019-04-16T15:08:00Z</dcterms:created>
  <dcterms:modified xsi:type="dcterms:W3CDTF">2019-04-16T15:08:00Z</dcterms:modified>
</cp:coreProperties>
</file>